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F7037" w14:textId="77777777" w:rsidR="0036477B" w:rsidRDefault="0036477B" w:rsidP="00A93B57">
      <w:pPr>
        <w:pStyle w:val="BodyText3"/>
        <w:rPr>
          <w:rFonts w:asciiTheme="minorHAnsi" w:hAnsiTheme="minorHAnsi" w:cstheme="minorHAnsi"/>
          <w:i w:val="0"/>
          <w:sz w:val="28"/>
          <w:szCs w:val="28"/>
        </w:rPr>
      </w:pPr>
    </w:p>
    <w:p w14:paraId="02CB602D" w14:textId="3A84DC97" w:rsidR="00B2260E" w:rsidRDefault="006E4E86" w:rsidP="00A93B57">
      <w:pPr>
        <w:pStyle w:val="BodyText3"/>
        <w:rPr>
          <w:rFonts w:asciiTheme="minorHAnsi" w:hAnsiTheme="minorHAnsi" w:cstheme="minorHAnsi"/>
          <w:i w:val="0"/>
          <w:sz w:val="28"/>
          <w:szCs w:val="28"/>
        </w:rPr>
      </w:pPr>
      <w:r w:rsidRPr="00E26714">
        <w:rPr>
          <w:rFonts w:asciiTheme="minorHAnsi" w:hAnsiTheme="minorHAnsi" w:cstheme="minorHAnsi"/>
          <w:i w:val="0"/>
          <w:sz w:val="28"/>
          <w:szCs w:val="28"/>
        </w:rPr>
        <w:t>Dassault Systèmes</w:t>
      </w:r>
      <w:r w:rsidR="00BB62A7">
        <w:rPr>
          <w:rFonts w:asciiTheme="minorHAnsi" w:hAnsiTheme="minorHAnsi" w:cstheme="minorHAnsi"/>
          <w:i w:val="0"/>
          <w:sz w:val="28"/>
          <w:szCs w:val="28"/>
        </w:rPr>
        <w:t xml:space="preserve"> Reports </w:t>
      </w:r>
      <w:r w:rsidR="00563423">
        <w:rPr>
          <w:rFonts w:asciiTheme="minorHAnsi" w:hAnsiTheme="minorHAnsi" w:cstheme="minorHAnsi"/>
          <w:i w:val="0"/>
          <w:sz w:val="28"/>
          <w:szCs w:val="28"/>
        </w:rPr>
        <w:t xml:space="preserve">Financial Results Well </w:t>
      </w:r>
      <w:proofErr w:type="gramStart"/>
      <w:r w:rsidR="00563423">
        <w:rPr>
          <w:rFonts w:asciiTheme="minorHAnsi" w:hAnsiTheme="minorHAnsi" w:cstheme="minorHAnsi"/>
          <w:i w:val="0"/>
          <w:sz w:val="28"/>
          <w:szCs w:val="28"/>
        </w:rPr>
        <w:t>Aligned</w:t>
      </w:r>
      <w:proofErr w:type="gramEnd"/>
      <w:r w:rsidR="00563423">
        <w:rPr>
          <w:rFonts w:asciiTheme="minorHAnsi" w:hAnsiTheme="minorHAnsi" w:cstheme="minorHAnsi"/>
          <w:i w:val="0"/>
          <w:sz w:val="28"/>
          <w:szCs w:val="28"/>
        </w:rPr>
        <w:t xml:space="preserve"> with its Guidance, </w:t>
      </w:r>
      <w:r w:rsidR="00666FA8">
        <w:rPr>
          <w:rFonts w:asciiTheme="minorHAnsi" w:hAnsiTheme="minorHAnsi" w:cstheme="minorHAnsi"/>
          <w:i w:val="0"/>
          <w:sz w:val="28"/>
          <w:szCs w:val="28"/>
        </w:rPr>
        <w:t xml:space="preserve">IFRS and non-IFRS </w:t>
      </w:r>
      <w:r w:rsidR="00D74AE6">
        <w:rPr>
          <w:rFonts w:asciiTheme="minorHAnsi" w:hAnsiTheme="minorHAnsi" w:cstheme="minorHAnsi"/>
          <w:i w:val="0"/>
          <w:sz w:val="28"/>
          <w:szCs w:val="28"/>
        </w:rPr>
        <w:t xml:space="preserve">Total </w:t>
      </w:r>
      <w:r w:rsidR="005610EE">
        <w:rPr>
          <w:rFonts w:asciiTheme="minorHAnsi" w:hAnsiTheme="minorHAnsi" w:cstheme="minorHAnsi"/>
          <w:i w:val="0"/>
          <w:sz w:val="28"/>
          <w:szCs w:val="28"/>
        </w:rPr>
        <w:t xml:space="preserve">Revenue up </w:t>
      </w:r>
      <w:r w:rsidR="00186088">
        <w:rPr>
          <w:rFonts w:asciiTheme="minorHAnsi" w:hAnsiTheme="minorHAnsi" w:cstheme="minorHAnsi"/>
          <w:i w:val="0"/>
          <w:sz w:val="28"/>
          <w:szCs w:val="28"/>
        </w:rPr>
        <w:t>11</w:t>
      </w:r>
      <w:r w:rsidR="005610EE">
        <w:rPr>
          <w:rFonts w:asciiTheme="minorHAnsi" w:hAnsiTheme="minorHAnsi" w:cstheme="minorHAnsi"/>
          <w:i w:val="0"/>
          <w:sz w:val="28"/>
          <w:szCs w:val="28"/>
        </w:rPr>
        <w:t>%</w:t>
      </w:r>
      <w:r w:rsidR="00BB62A7">
        <w:rPr>
          <w:rFonts w:asciiTheme="minorHAnsi" w:hAnsiTheme="minorHAnsi" w:cstheme="minorHAnsi"/>
          <w:i w:val="0"/>
          <w:sz w:val="28"/>
          <w:szCs w:val="28"/>
        </w:rPr>
        <w:t xml:space="preserve"> in Q2, </w:t>
      </w:r>
      <w:r w:rsidR="00666FA8">
        <w:rPr>
          <w:rFonts w:asciiTheme="minorHAnsi" w:hAnsiTheme="minorHAnsi" w:cstheme="minorHAnsi"/>
          <w:i w:val="0"/>
          <w:sz w:val="28"/>
          <w:szCs w:val="28"/>
        </w:rPr>
        <w:br/>
      </w:r>
      <w:r w:rsidR="00BB62A7">
        <w:rPr>
          <w:rFonts w:asciiTheme="minorHAnsi" w:hAnsiTheme="minorHAnsi" w:cstheme="minorHAnsi"/>
          <w:i w:val="0"/>
          <w:sz w:val="28"/>
          <w:szCs w:val="28"/>
        </w:rPr>
        <w:t>Reaf</w:t>
      </w:r>
      <w:r w:rsidR="00075E90">
        <w:rPr>
          <w:rFonts w:asciiTheme="minorHAnsi" w:hAnsiTheme="minorHAnsi" w:cstheme="minorHAnsi"/>
          <w:i w:val="0"/>
          <w:sz w:val="28"/>
          <w:szCs w:val="28"/>
        </w:rPr>
        <w:t>firms</w:t>
      </w:r>
      <w:r w:rsidR="00056065">
        <w:rPr>
          <w:rFonts w:asciiTheme="minorHAnsi" w:hAnsiTheme="minorHAnsi" w:cstheme="minorHAnsi"/>
          <w:i w:val="0"/>
          <w:sz w:val="28"/>
          <w:szCs w:val="28"/>
        </w:rPr>
        <w:t xml:space="preserve"> its 202</w:t>
      </w:r>
      <w:r w:rsidR="00383A79">
        <w:rPr>
          <w:rFonts w:asciiTheme="minorHAnsi" w:hAnsiTheme="minorHAnsi" w:cstheme="minorHAnsi"/>
          <w:i w:val="0"/>
          <w:sz w:val="28"/>
          <w:szCs w:val="28"/>
        </w:rPr>
        <w:t xml:space="preserve">0 </w:t>
      </w:r>
      <w:r w:rsidR="00563423">
        <w:rPr>
          <w:rFonts w:asciiTheme="minorHAnsi" w:hAnsiTheme="minorHAnsi" w:cstheme="minorHAnsi"/>
          <w:i w:val="0"/>
          <w:sz w:val="28"/>
          <w:szCs w:val="28"/>
        </w:rPr>
        <w:t xml:space="preserve">non-IFRS </w:t>
      </w:r>
      <w:r w:rsidR="00383A79">
        <w:rPr>
          <w:rFonts w:asciiTheme="minorHAnsi" w:hAnsiTheme="minorHAnsi" w:cstheme="minorHAnsi"/>
          <w:i w:val="0"/>
          <w:sz w:val="28"/>
          <w:szCs w:val="28"/>
        </w:rPr>
        <w:t>EPS Objective</w:t>
      </w:r>
      <w:r w:rsidR="00E26714">
        <w:rPr>
          <w:rFonts w:asciiTheme="minorHAnsi" w:hAnsiTheme="minorHAnsi" w:cstheme="minorHAnsi"/>
          <w:i w:val="0"/>
          <w:sz w:val="28"/>
          <w:szCs w:val="28"/>
        </w:rPr>
        <w:br/>
      </w:r>
    </w:p>
    <w:p w14:paraId="4F3554F8" w14:textId="72DF577C" w:rsidR="00DF4742" w:rsidRPr="00E26714" w:rsidRDefault="00DF4742" w:rsidP="00A93B57">
      <w:pPr>
        <w:widowControl w:val="0"/>
        <w:jc w:val="both"/>
        <w:rPr>
          <w:rFonts w:asciiTheme="minorHAnsi" w:hAnsiTheme="minorHAnsi" w:cstheme="minorHAnsi"/>
        </w:rPr>
      </w:pPr>
      <w:r w:rsidRPr="00E26714">
        <w:rPr>
          <w:rFonts w:asciiTheme="minorHAnsi" w:hAnsiTheme="minorHAnsi" w:cstheme="minorHAnsi"/>
          <w:b/>
        </w:rPr>
        <w:t>VÉ</w:t>
      </w:r>
      <w:r w:rsidR="00BD4938" w:rsidRPr="00E26714">
        <w:rPr>
          <w:rFonts w:asciiTheme="minorHAnsi" w:hAnsiTheme="minorHAnsi" w:cstheme="minorHAnsi"/>
          <w:b/>
        </w:rPr>
        <w:t xml:space="preserve">LIZY-VILLACOUBLAY, France — </w:t>
      </w:r>
      <w:r w:rsidR="00A326CD">
        <w:rPr>
          <w:rFonts w:asciiTheme="minorHAnsi" w:hAnsiTheme="minorHAnsi" w:cstheme="minorHAnsi"/>
          <w:b/>
        </w:rPr>
        <w:t>July</w:t>
      </w:r>
      <w:r w:rsidR="000F26D6">
        <w:rPr>
          <w:rFonts w:asciiTheme="minorHAnsi" w:hAnsiTheme="minorHAnsi" w:cstheme="minorHAnsi"/>
          <w:b/>
        </w:rPr>
        <w:t xml:space="preserve"> 23</w:t>
      </w:r>
      <w:r w:rsidR="00FB4644" w:rsidRPr="00E26714">
        <w:rPr>
          <w:rFonts w:asciiTheme="minorHAnsi" w:hAnsiTheme="minorHAnsi" w:cstheme="minorHAnsi"/>
          <w:b/>
        </w:rPr>
        <w:t>, 2020</w:t>
      </w:r>
      <w:r w:rsidRPr="00E26714">
        <w:rPr>
          <w:rFonts w:asciiTheme="minorHAnsi" w:hAnsiTheme="minorHAnsi" w:cstheme="minorHAnsi"/>
        </w:rPr>
        <w:t xml:space="preserve"> — </w:t>
      </w:r>
      <w:hyperlink r:id="rId8" w:history="1">
        <w:r w:rsidRPr="00E26714">
          <w:rPr>
            <w:rStyle w:val="Hyperlink"/>
            <w:rFonts w:asciiTheme="minorHAnsi" w:hAnsiTheme="minorHAnsi" w:cstheme="minorHAnsi"/>
          </w:rPr>
          <w:t>Dassault Systèmes</w:t>
        </w:r>
      </w:hyperlink>
      <w:r w:rsidRPr="00E26714">
        <w:rPr>
          <w:rFonts w:asciiTheme="minorHAnsi" w:hAnsiTheme="minorHAnsi" w:cstheme="minorHAnsi"/>
        </w:rPr>
        <w:t xml:space="preserve"> (Euronext Paris: #13065, DSY.PA) announces IFRS unaudited </w:t>
      </w:r>
      <w:r w:rsidR="00FB4644" w:rsidRPr="00E26714">
        <w:rPr>
          <w:rFonts w:asciiTheme="minorHAnsi" w:hAnsiTheme="minorHAnsi" w:cstheme="minorHAnsi"/>
        </w:rPr>
        <w:t>financ</w:t>
      </w:r>
      <w:r w:rsidR="00A43D55" w:rsidRPr="00E26714">
        <w:rPr>
          <w:rFonts w:asciiTheme="minorHAnsi" w:hAnsiTheme="minorHAnsi" w:cstheme="minorHAnsi"/>
        </w:rPr>
        <w:t xml:space="preserve">ial results for the </w:t>
      </w:r>
      <w:r w:rsidR="00A326CD">
        <w:rPr>
          <w:rFonts w:asciiTheme="minorHAnsi" w:hAnsiTheme="minorHAnsi" w:cstheme="minorHAnsi"/>
        </w:rPr>
        <w:t>second</w:t>
      </w:r>
      <w:r w:rsidR="000F26D6">
        <w:rPr>
          <w:rFonts w:asciiTheme="minorHAnsi" w:hAnsiTheme="minorHAnsi" w:cstheme="minorHAnsi"/>
        </w:rPr>
        <w:t xml:space="preserve"> </w:t>
      </w:r>
      <w:r w:rsidR="00A43D55" w:rsidRPr="00E26714">
        <w:rPr>
          <w:rFonts w:asciiTheme="minorHAnsi" w:hAnsiTheme="minorHAnsi" w:cstheme="minorHAnsi"/>
        </w:rPr>
        <w:t>quarter</w:t>
      </w:r>
      <w:r w:rsidR="00A326CD">
        <w:rPr>
          <w:rFonts w:asciiTheme="minorHAnsi" w:hAnsiTheme="minorHAnsi" w:cstheme="minorHAnsi"/>
        </w:rPr>
        <w:t xml:space="preserve"> and first half ended June 30</w:t>
      </w:r>
      <w:r w:rsidR="00AB6F25">
        <w:rPr>
          <w:rFonts w:asciiTheme="minorHAnsi" w:hAnsiTheme="minorHAnsi" w:cstheme="minorHAnsi"/>
        </w:rPr>
        <w:t>, 20</w:t>
      </w:r>
      <w:r w:rsidR="00DE2AB4">
        <w:rPr>
          <w:rFonts w:asciiTheme="minorHAnsi" w:hAnsiTheme="minorHAnsi" w:cstheme="minorHAnsi"/>
        </w:rPr>
        <w:t>20</w:t>
      </w:r>
      <w:r w:rsidRPr="00E26714">
        <w:rPr>
          <w:rFonts w:asciiTheme="minorHAnsi" w:hAnsiTheme="minorHAnsi" w:cstheme="minorHAnsi"/>
        </w:rPr>
        <w:t xml:space="preserve">. </w:t>
      </w:r>
      <w:r w:rsidR="00A326CD">
        <w:rPr>
          <w:rFonts w:asciiTheme="minorHAnsi" w:hAnsiTheme="minorHAnsi" w:cstheme="minorHAnsi"/>
        </w:rPr>
        <w:t xml:space="preserve"> </w:t>
      </w:r>
      <w:r w:rsidR="009F786A">
        <w:rPr>
          <w:rFonts w:asciiTheme="minorHAnsi" w:hAnsiTheme="minorHAnsi" w:cstheme="minorHAnsi"/>
        </w:rPr>
        <w:t>T</w:t>
      </w:r>
      <w:r w:rsidRPr="00E26714">
        <w:rPr>
          <w:rFonts w:asciiTheme="minorHAnsi" w:hAnsiTheme="minorHAnsi" w:cstheme="minorHAnsi"/>
        </w:rPr>
        <w:t xml:space="preserve">he </w:t>
      </w:r>
      <w:r w:rsidR="005E19FC" w:rsidRPr="00E26714">
        <w:rPr>
          <w:rFonts w:asciiTheme="minorHAnsi" w:hAnsiTheme="minorHAnsi" w:cstheme="minorHAnsi"/>
        </w:rPr>
        <w:t xml:space="preserve">Group’s </w:t>
      </w:r>
      <w:r w:rsidRPr="00E26714">
        <w:rPr>
          <w:rFonts w:asciiTheme="minorHAnsi" w:hAnsiTheme="minorHAnsi" w:cstheme="minorHAnsi"/>
        </w:rPr>
        <w:t>Board of Directors</w:t>
      </w:r>
      <w:r w:rsidR="009F786A">
        <w:rPr>
          <w:rFonts w:asciiTheme="minorHAnsi" w:hAnsiTheme="minorHAnsi" w:cstheme="minorHAnsi"/>
        </w:rPr>
        <w:t xml:space="preserve"> reviewed these results</w:t>
      </w:r>
      <w:r w:rsidRPr="00E26714">
        <w:rPr>
          <w:rFonts w:asciiTheme="minorHAnsi" w:hAnsiTheme="minorHAnsi" w:cstheme="minorHAnsi"/>
        </w:rPr>
        <w:t xml:space="preserve"> </w:t>
      </w:r>
      <w:r w:rsidR="000F26D6">
        <w:rPr>
          <w:rFonts w:asciiTheme="minorHAnsi" w:hAnsiTheme="minorHAnsi" w:cstheme="minorHAnsi"/>
        </w:rPr>
        <w:t xml:space="preserve">on </w:t>
      </w:r>
      <w:r w:rsidR="00A326CD">
        <w:rPr>
          <w:rFonts w:asciiTheme="minorHAnsi" w:hAnsiTheme="minorHAnsi" w:cstheme="minorHAnsi"/>
        </w:rPr>
        <w:t>July</w:t>
      </w:r>
      <w:r w:rsidR="000F26D6">
        <w:rPr>
          <w:rFonts w:asciiTheme="minorHAnsi" w:hAnsiTheme="minorHAnsi" w:cstheme="minorHAnsi"/>
        </w:rPr>
        <w:t xml:space="preserve"> 22</w:t>
      </w:r>
      <w:r w:rsidR="00FB4644" w:rsidRPr="00E26714">
        <w:rPr>
          <w:rFonts w:asciiTheme="minorHAnsi" w:hAnsiTheme="minorHAnsi" w:cstheme="minorHAnsi"/>
        </w:rPr>
        <w:t>, 2020</w:t>
      </w:r>
      <w:r w:rsidRPr="00E26714">
        <w:rPr>
          <w:rFonts w:asciiTheme="minorHAnsi" w:hAnsiTheme="minorHAnsi" w:cstheme="minorHAnsi"/>
        </w:rPr>
        <w:t xml:space="preserve">. This press release also includes financial information on a non-IFRS basis with reconciliations </w:t>
      </w:r>
      <w:r w:rsidR="00100DFF">
        <w:rPr>
          <w:rFonts w:asciiTheme="minorHAnsi" w:hAnsiTheme="minorHAnsi" w:cstheme="minorHAnsi"/>
        </w:rPr>
        <w:t xml:space="preserve">with IFRS figures </w:t>
      </w:r>
      <w:r w:rsidRPr="00E26714">
        <w:rPr>
          <w:rFonts w:asciiTheme="minorHAnsi" w:hAnsiTheme="minorHAnsi" w:cstheme="minorHAnsi"/>
        </w:rPr>
        <w:t>included in the Appendix to this c</w:t>
      </w:r>
      <w:r w:rsidR="000F26D6">
        <w:rPr>
          <w:rFonts w:asciiTheme="minorHAnsi" w:hAnsiTheme="minorHAnsi" w:cstheme="minorHAnsi"/>
        </w:rPr>
        <w:t xml:space="preserve">ommunication. </w:t>
      </w:r>
    </w:p>
    <w:p w14:paraId="4C0997E5" w14:textId="77777777" w:rsidR="00AC2121" w:rsidRPr="00E26714" w:rsidRDefault="00AC2121" w:rsidP="00A93B57">
      <w:pPr>
        <w:widowControl w:val="0"/>
        <w:jc w:val="both"/>
        <w:rPr>
          <w:rFonts w:asciiTheme="minorHAnsi" w:hAnsiTheme="minorHAnsi" w:cstheme="minorHAnsi"/>
        </w:rPr>
      </w:pPr>
    </w:p>
    <w:p w14:paraId="271508F4" w14:textId="1AD5DD19" w:rsidR="00AC2121" w:rsidRPr="000A5651" w:rsidRDefault="00AC2121" w:rsidP="00647FB6">
      <w:pPr>
        <w:ind w:left="357"/>
        <w:jc w:val="center"/>
        <w:rPr>
          <w:rFonts w:asciiTheme="minorHAnsi" w:hAnsiTheme="minorHAnsi" w:cstheme="minorHAnsi"/>
          <w:b/>
          <w:sz w:val="24"/>
        </w:rPr>
      </w:pPr>
      <w:r w:rsidRPr="000A5651">
        <w:rPr>
          <w:rFonts w:asciiTheme="minorHAnsi" w:hAnsiTheme="minorHAnsi" w:cstheme="minorHAnsi"/>
          <w:b/>
          <w:sz w:val="24"/>
        </w:rPr>
        <w:t xml:space="preserve"> Highlights and Financial Summary</w:t>
      </w:r>
    </w:p>
    <w:p w14:paraId="6D054D88" w14:textId="6BE33F4D" w:rsidR="00AC2121" w:rsidRPr="0057023A" w:rsidRDefault="00AC2121" w:rsidP="00AC2121">
      <w:pPr>
        <w:spacing w:after="120"/>
        <w:ind w:left="360"/>
        <w:jc w:val="center"/>
        <w:rPr>
          <w:rFonts w:asciiTheme="minorHAnsi" w:hAnsiTheme="minorHAnsi" w:cstheme="minorHAnsi"/>
        </w:rPr>
      </w:pPr>
      <w:r w:rsidRPr="0057023A">
        <w:rPr>
          <w:rFonts w:asciiTheme="minorHAnsi" w:hAnsiTheme="minorHAnsi" w:cstheme="minorHAnsi"/>
        </w:rPr>
        <w:t>(Unaudited</w:t>
      </w:r>
      <w:r w:rsidR="00327566">
        <w:rPr>
          <w:rFonts w:asciiTheme="minorHAnsi" w:hAnsiTheme="minorHAnsi" w:cstheme="minorHAnsi"/>
        </w:rPr>
        <w:t>, revenue growth in constant currencies</w:t>
      </w:r>
      <w:r w:rsidRPr="0057023A">
        <w:rPr>
          <w:rFonts w:asciiTheme="minorHAnsi" w:hAnsiTheme="minorHAnsi" w:cstheme="minorHAnsi"/>
        </w:rPr>
        <w:t>)</w:t>
      </w:r>
    </w:p>
    <w:p w14:paraId="4A9B118F" w14:textId="15B67E0E" w:rsidR="00233618" w:rsidRDefault="00F826EC" w:rsidP="0036477B">
      <w:pPr>
        <w:pStyle w:val="ListParagraph"/>
        <w:numPr>
          <w:ilvl w:val="0"/>
          <w:numId w:val="57"/>
        </w:numPr>
        <w:spacing w:after="120" w:line="240" w:lineRule="auto"/>
        <w:jc w:val="both"/>
        <w:rPr>
          <w:rFonts w:cstheme="minorHAnsi"/>
          <w:b/>
        </w:rPr>
      </w:pPr>
      <w:r>
        <w:rPr>
          <w:rFonts w:cstheme="minorHAnsi"/>
          <w:b/>
        </w:rPr>
        <w:t>Q2 n</w:t>
      </w:r>
      <w:r w:rsidR="00233618">
        <w:rPr>
          <w:rFonts w:cstheme="minorHAnsi"/>
          <w:b/>
        </w:rPr>
        <w:t xml:space="preserve">on-IFRS Operating Margin and non-IFRS EPS </w:t>
      </w:r>
      <w:r w:rsidR="00C927C1">
        <w:rPr>
          <w:rFonts w:cstheme="minorHAnsi"/>
          <w:b/>
        </w:rPr>
        <w:t>at</w:t>
      </w:r>
      <w:r w:rsidR="00233618">
        <w:rPr>
          <w:rFonts w:cstheme="minorHAnsi"/>
          <w:b/>
        </w:rPr>
        <w:t xml:space="preserve"> high end of guidance </w:t>
      </w:r>
      <w:r w:rsidR="00C927C1">
        <w:rPr>
          <w:rFonts w:cstheme="minorHAnsi"/>
          <w:b/>
        </w:rPr>
        <w:t>reflecting</w:t>
      </w:r>
      <w:r w:rsidR="00233618">
        <w:rPr>
          <w:rFonts w:cstheme="minorHAnsi"/>
          <w:b/>
        </w:rPr>
        <w:t xml:space="preserve"> strong operational performance </w:t>
      </w:r>
    </w:p>
    <w:p w14:paraId="732E816B" w14:textId="568DF716" w:rsidR="00A5593A" w:rsidRDefault="005610EE" w:rsidP="0036477B">
      <w:pPr>
        <w:pStyle w:val="ListParagraph"/>
        <w:numPr>
          <w:ilvl w:val="0"/>
          <w:numId w:val="1"/>
        </w:numPr>
        <w:spacing w:after="120" w:line="240" w:lineRule="auto"/>
        <w:jc w:val="both"/>
        <w:rPr>
          <w:rFonts w:cstheme="minorHAnsi"/>
          <w:b/>
        </w:rPr>
      </w:pPr>
      <w:r>
        <w:rPr>
          <w:rFonts w:cstheme="minorHAnsi"/>
          <w:b/>
        </w:rPr>
        <w:t>Q2</w:t>
      </w:r>
      <w:r w:rsidR="004B1FDE" w:rsidRPr="001E2A12">
        <w:rPr>
          <w:rFonts w:cstheme="minorHAnsi"/>
          <w:b/>
        </w:rPr>
        <w:t xml:space="preserve"> </w:t>
      </w:r>
      <w:r w:rsidR="00666FA8">
        <w:rPr>
          <w:rFonts w:cstheme="minorHAnsi"/>
          <w:b/>
        </w:rPr>
        <w:t xml:space="preserve">IFRS and non-IFRS </w:t>
      </w:r>
      <w:r w:rsidR="00E81A9D">
        <w:rPr>
          <w:rFonts w:cstheme="minorHAnsi"/>
          <w:b/>
        </w:rPr>
        <w:t xml:space="preserve">total </w:t>
      </w:r>
      <w:r>
        <w:rPr>
          <w:rFonts w:cstheme="minorHAnsi"/>
          <w:b/>
        </w:rPr>
        <w:t>revenue</w:t>
      </w:r>
      <w:r w:rsidR="00BB62A7">
        <w:rPr>
          <w:rFonts w:cstheme="minorHAnsi"/>
          <w:b/>
        </w:rPr>
        <w:t xml:space="preserve"> </w:t>
      </w:r>
      <w:r w:rsidR="00A20B85">
        <w:rPr>
          <w:rFonts w:cstheme="minorHAnsi"/>
          <w:b/>
        </w:rPr>
        <w:t xml:space="preserve">up </w:t>
      </w:r>
      <w:r w:rsidR="008D65DA">
        <w:rPr>
          <w:rFonts w:cstheme="minorHAnsi"/>
          <w:b/>
        </w:rPr>
        <w:t>10</w:t>
      </w:r>
      <w:r w:rsidR="008114D0" w:rsidRPr="001E2A12">
        <w:rPr>
          <w:rFonts w:cstheme="minorHAnsi"/>
          <w:b/>
        </w:rPr>
        <w:t>%</w:t>
      </w:r>
      <w:r w:rsidR="00571705">
        <w:rPr>
          <w:rFonts w:cstheme="minorHAnsi"/>
          <w:b/>
        </w:rPr>
        <w:t xml:space="preserve"> in constant currencies</w:t>
      </w:r>
      <w:r w:rsidR="008114D0" w:rsidRPr="001E2A12">
        <w:rPr>
          <w:rFonts w:cstheme="minorHAnsi"/>
          <w:b/>
        </w:rPr>
        <w:t xml:space="preserve">; </w:t>
      </w:r>
      <w:r w:rsidR="00563423">
        <w:rPr>
          <w:rFonts w:cstheme="minorHAnsi"/>
          <w:b/>
        </w:rPr>
        <w:t xml:space="preserve">non-IFRS </w:t>
      </w:r>
      <w:r w:rsidR="004F078D" w:rsidRPr="001E2A12">
        <w:rPr>
          <w:rFonts w:cstheme="minorHAnsi"/>
          <w:b/>
        </w:rPr>
        <w:t>recurring softw</w:t>
      </w:r>
      <w:r>
        <w:rPr>
          <w:rFonts w:cstheme="minorHAnsi"/>
          <w:b/>
        </w:rPr>
        <w:t xml:space="preserve">are </w:t>
      </w:r>
      <w:r w:rsidR="003C0DCD" w:rsidRPr="001E2A12">
        <w:rPr>
          <w:rFonts w:cstheme="minorHAnsi"/>
          <w:b/>
        </w:rPr>
        <w:t>up 30</w:t>
      </w:r>
      <w:r w:rsidR="004F078D" w:rsidRPr="001E2A12">
        <w:rPr>
          <w:rFonts w:cstheme="minorHAnsi"/>
          <w:b/>
        </w:rPr>
        <w:t xml:space="preserve">% </w:t>
      </w:r>
      <w:r w:rsidR="00ED1514">
        <w:rPr>
          <w:rFonts w:cstheme="minorHAnsi"/>
          <w:b/>
        </w:rPr>
        <w:t xml:space="preserve">with </w:t>
      </w:r>
      <w:proofErr w:type="spellStart"/>
      <w:r w:rsidR="00ED1514">
        <w:rPr>
          <w:rFonts w:cstheme="minorHAnsi"/>
          <w:b/>
        </w:rPr>
        <w:t>Medidata</w:t>
      </w:r>
      <w:proofErr w:type="spellEnd"/>
      <w:r w:rsidR="00ED1514">
        <w:rPr>
          <w:rFonts w:cstheme="minorHAnsi"/>
          <w:b/>
        </w:rPr>
        <w:t xml:space="preserve"> </w:t>
      </w:r>
      <w:r w:rsidR="00A20B85">
        <w:rPr>
          <w:rFonts w:cstheme="minorHAnsi"/>
          <w:b/>
        </w:rPr>
        <w:t>and</w:t>
      </w:r>
      <w:r w:rsidR="0079491F">
        <w:rPr>
          <w:rFonts w:cstheme="minorHAnsi"/>
          <w:b/>
        </w:rPr>
        <w:t xml:space="preserve"> </w:t>
      </w:r>
      <w:r w:rsidR="00563423">
        <w:rPr>
          <w:rFonts w:cstheme="minorHAnsi"/>
          <w:b/>
        </w:rPr>
        <w:t xml:space="preserve">solid </w:t>
      </w:r>
      <w:r w:rsidR="00ED1514">
        <w:rPr>
          <w:rFonts w:cstheme="minorHAnsi"/>
          <w:b/>
        </w:rPr>
        <w:t xml:space="preserve">organic </w:t>
      </w:r>
      <w:r w:rsidR="0079491F">
        <w:rPr>
          <w:rFonts w:cstheme="minorHAnsi"/>
          <w:b/>
        </w:rPr>
        <w:t>support renewals</w:t>
      </w:r>
      <w:r w:rsidR="00A20B85">
        <w:rPr>
          <w:rFonts w:cstheme="minorHAnsi"/>
          <w:b/>
        </w:rPr>
        <w:t xml:space="preserve"> </w:t>
      </w:r>
    </w:p>
    <w:p w14:paraId="53C1AD24" w14:textId="523FA59E" w:rsidR="0090511A" w:rsidRDefault="00A5593A" w:rsidP="0036477B">
      <w:pPr>
        <w:pStyle w:val="ListParagraph"/>
        <w:numPr>
          <w:ilvl w:val="0"/>
          <w:numId w:val="1"/>
        </w:numPr>
        <w:jc w:val="both"/>
        <w:rPr>
          <w:rFonts w:cstheme="minorHAnsi"/>
          <w:b/>
        </w:rPr>
      </w:pPr>
      <w:r>
        <w:rPr>
          <w:rFonts w:cstheme="minorHAnsi"/>
          <w:b/>
        </w:rPr>
        <w:t>Q2</w:t>
      </w:r>
      <w:r w:rsidR="006F5A8B" w:rsidRPr="001E2A12">
        <w:rPr>
          <w:rFonts w:cstheme="minorHAnsi"/>
          <w:b/>
        </w:rPr>
        <w:t xml:space="preserve"> </w:t>
      </w:r>
      <w:r w:rsidR="00C927C1">
        <w:rPr>
          <w:rFonts w:cstheme="minorHAnsi"/>
          <w:b/>
        </w:rPr>
        <w:t>c</w:t>
      </w:r>
      <w:r w:rsidR="006F5A8B" w:rsidRPr="001E2A12">
        <w:rPr>
          <w:rFonts w:cstheme="minorHAnsi"/>
          <w:b/>
        </w:rPr>
        <w:t>as</w:t>
      </w:r>
      <w:r w:rsidR="008C7B89" w:rsidRPr="001E2A12">
        <w:rPr>
          <w:rFonts w:cstheme="minorHAnsi"/>
          <w:b/>
        </w:rPr>
        <w:t>h flow from operations of €</w:t>
      </w:r>
      <w:r w:rsidR="00563423">
        <w:rPr>
          <w:rFonts w:cstheme="minorHAnsi"/>
          <w:b/>
        </w:rPr>
        <w:t>397</w:t>
      </w:r>
      <w:r w:rsidR="00563423" w:rsidRPr="001E2A12">
        <w:rPr>
          <w:rFonts w:cstheme="minorHAnsi"/>
          <w:b/>
        </w:rPr>
        <w:t xml:space="preserve"> </w:t>
      </w:r>
      <w:r w:rsidR="008C7B89" w:rsidRPr="001E2A12">
        <w:rPr>
          <w:rFonts w:cstheme="minorHAnsi"/>
          <w:b/>
        </w:rPr>
        <w:t>m</w:t>
      </w:r>
      <w:r w:rsidR="006F5A8B" w:rsidRPr="001E2A12">
        <w:rPr>
          <w:rFonts w:cstheme="minorHAnsi"/>
          <w:b/>
        </w:rPr>
        <w:t>illion</w:t>
      </w:r>
      <w:r>
        <w:rPr>
          <w:rFonts w:cstheme="minorHAnsi"/>
          <w:b/>
        </w:rPr>
        <w:t>, with H1 at €</w:t>
      </w:r>
      <w:r w:rsidR="00563423">
        <w:rPr>
          <w:rFonts w:cstheme="minorHAnsi"/>
          <w:b/>
        </w:rPr>
        <w:t xml:space="preserve">855 </w:t>
      </w:r>
      <w:r>
        <w:rPr>
          <w:rFonts w:cstheme="minorHAnsi"/>
          <w:b/>
        </w:rPr>
        <w:t>million</w:t>
      </w:r>
    </w:p>
    <w:p w14:paraId="08DFFB6D" w14:textId="5FE27541" w:rsidR="00E67E84" w:rsidRDefault="00696EF2" w:rsidP="0036477B">
      <w:pPr>
        <w:pStyle w:val="ListParagraph"/>
        <w:numPr>
          <w:ilvl w:val="0"/>
          <w:numId w:val="1"/>
        </w:numPr>
        <w:jc w:val="both"/>
        <w:rPr>
          <w:rFonts w:cstheme="minorHAnsi"/>
          <w:b/>
        </w:rPr>
      </w:pPr>
      <w:proofErr w:type="spellStart"/>
      <w:r>
        <w:rPr>
          <w:rFonts w:cstheme="minorHAnsi"/>
          <w:b/>
        </w:rPr>
        <w:t>Medidata</w:t>
      </w:r>
      <w:proofErr w:type="spellEnd"/>
      <w:r w:rsidR="0091020D">
        <w:rPr>
          <w:rFonts w:cstheme="minorHAnsi"/>
          <w:b/>
        </w:rPr>
        <w:t xml:space="preserve"> delivers double-digit </w:t>
      </w:r>
      <w:r w:rsidR="00666FA8">
        <w:rPr>
          <w:rFonts w:cstheme="minorHAnsi"/>
          <w:b/>
        </w:rPr>
        <w:t xml:space="preserve">non-IFRS </w:t>
      </w:r>
      <w:r w:rsidR="0091020D">
        <w:rPr>
          <w:rFonts w:cstheme="minorHAnsi"/>
          <w:b/>
        </w:rPr>
        <w:t xml:space="preserve">revenue growth and strong </w:t>
      </w:r>
      <w:r w:rsidR="008A31BE">
        <w:rPr>
          <w:rFonts w:cstheme="minorHAnsi"/>
          <w:b/>
        </w:rPr>
        <w:t>non-IFRS</w:t>
      </w:r>
      <w:r w:rsidR="002036E6">
        <w:rPr>
          <w:rFonts w:cstheme="minorHAnsi"/>
          <w:b/>
        </w:rPr>
        <w:t xml:space="preserve"> </w:t>
      </w:r>
      <w:r w:rsidR="008A31BE">
        <w:rPr>
          <w:rFonts w:cstheme="minorHAnsi"/>
          <w:b/>
        </w:rPr>
        <w:t xml:space="preserve"> </w:t>
      </w:r>
      <w:r w:rsidR="0091020D">
        <w:rPr>
          <w:rFonts w:cstheme="minorHAnsi"/>
          <w:b/>
        </w:rPr>
        <w:t>operating margin uplift in H1</w:t>
      </w:r>
      <w:r w:rsidR="005968C4">
        <w:rPr>
          <w:rFonts w:cstheme="minorHAnsi"/>
          <w:b/>
        </w:rPr>
        <w:t>,</w:t>
      </w:r>
      <w:r w:rsidR="005968C4" w:rsidRPr="005968C4">
        <w:rPr>
          <w:rFonts w:cstheme="minorHAnsi"/>
          <w:b/>
        </w:rPr>
        <w:t xml:space="preserve"> </w:t>
      </w:r>
      <w:r w:rsidR="005968C4">
        <w:rPr>
          <w:rFonts w:cstheme="minorHAnsi"/>
          <w:b/>
        </w:rPr>
        <w:t>on a comparable basis</w:t>
      </w:r>
    </w:p>
    <w:p w14:paraId="3CD32D8C" w14:textId="1E5D9EE8" w:rsidR="001E2A12" w:rsidRPr="001E2A12" w:rsidRDefault="001538A6" w:rsidP="0036477B">
      <w:pPr>
        <w:pStyle w:val="ListParagraph"/>
        <w:numPr>
          <w:ilvl w:val="0"/>
          <w:numId w:val="1"/>
        </w:numPr>
        <w:jc w:val="both"/>
        <w:rPr>
          <w:rFonts w:cstheme="minorHAnsi"/>
          <w:b/>
        </w:rPr>
      </w:pPr>
      <w:r>
        <w:rPr>
          <w:rFonts w:cstheme="minorHAnsi"/>
          <w:b/>
        </w:rPr>
        <w:t>A</w:t>
      </w:r>
      <w:r w:rsidR="001E2A12">
        <w:rPr>
          <w:rFonts w:cstheme="minorHAnsi"/>
          <w:b/>
        </w:rPr>
        <w:t xml:space="preserve">cquisition of </w:t>
      </w:r>
      <w:proofErr w:type="spellStart"/>
      <w:r w:rsidR="001E2A12">
        <w:rPr>
          <w:rFonts w:cstheme="minorHAnsi"/>
          <w:b/>
        </w:rPr>
        <w:t>Proxem</w:t>
      </w:r>
      <w:proofErr w:type="spellEnd"/>
      <w:r w:rsidR="001E2A12">
        <w:rPr>
          <w:rFonts w:cstheme="minorHAnsi"/>
          <w:b/>
        </w:rPr>
        <w:t xml:space="preserve">, specialist in AI-based </w:t>
      </w:r>
      <w:r w:rsidR="00571705">
        <w:rPr>
          <w:rFonts w:cstheme="minorHAnsi"/>
          <w:b/>
        </w:rPr>
        <w:t xml:space="preserve">information </w:t>
      </w:r>
      <w:r w:rsidR="001E2A12">
        <w:rPr>
          <w:rFonts w:cstheme="minorHAnsi"/>
          <w:b/>
        </w:rPr>
        <w:t xml:space="preserve">semantic processing </w:t>
      </w:r>
      <w:r w:rsidR="00E7745A">
        <w:rPr>
          <w:rFonts w:cstheme="minorHAnsi"/>
          <w:b/>
        </w:rPr>
        <w:t>expanding our</w:t>
      </w:r>
      <w:r w:rsidR="005610EE">
        <w:rPr>
          <w:rFonts w:cstheme="minorHAnsi"/>
          <w:b/>
        </w:rPr>
        <w:t xml:space="preserve"> collaborative data sciences</w:t>
      </w:r>
      <w:r w:rsidR="00AB67C7">
        <w:rPr>
          <w:rFonts w:cstheme="minorHAnsi"/>
          <w:b/>
        </w:rPr>
        <w:t xml:space="preserve"> offer</w:t>
      </w:r>
    </w:p>
    <w:p w14:paraId="02D03566" w14:textId="6C9FFE42" w:rsidR="00B25211" w:rsidRPr="001E2A12" w:rsidRDefault="00EA5656" w:rsidP="0036477B">
      <w:pPr>
        <w:pStyle w:val="ListParagraph"/>
        <w:numPr>
          <w:ilvl w:val="0"/>
          <w:numId w:val="1"/>
        </w:numPr>
        <w:jc w:val="both"/>
        <w:rPr>
          <w:rFonts w:cstheme="minorHAnsi"/>
          <w:b/>
        </w:rPr>
      </w:pPr>
      <w:r>
        <w:rPr>
          <w:rFonts w:cstheme="minorHAnsi"/>
          <w:b/>
        </w:rPr>
        <w:t>Confirming</w:t>
      </w:r>
      <w:r w:rsidR="00BF6BE7" w:rsidRPr="001E2A12">
        <w:rPr>
          <w:rFonts w:cstheme="minorHAnsi"/>
          <w:b/>
        </w:rPr>
        <w:t xml:space="preserve"> FY 2020 Financial Framework</w:t>
      </w:r>
      <w:r w:rsidR="00563423">
        <w:rPr>
          <w:rFonts w:cstheme="minorHAnsi"/>
          <w:b/>
        </w:rPr>
        <w:t xml:space="preserve"> with an</w:t>
      </w:r>
      <w:r w:rsidR="00563423" w:rsidRPr="001E2A12">
        <w:rPr>
          <w:rFonts w:cstheme="minorHAnsi"/>
          <w:b/>
        </w:rPr>
        <w:t xml:space="preserve"> </w:t>
      </w:r>
      <w:r w:rsidR="00FA7005" w:rsidRPr="001E2A12">
        <w:rPr>
          <w:rFonts w:cstheme="minorHAnsi"/>
          <w:b/>
        </w:rPr>
        <w:t>Objective of</w:t>
      </w:r>
      <w:r w:rsidR="00B25211" w:rsidRPr="001E2A12">
        <w:rPr>
          <w:rFonts w:cstheme="minorHAnsi"/>
          <w:b/>
        </w:rPr>
        <w:t xml:space="preserve"> 2020 non-IFRS EPS</w:t>
      </w:r>
      <w:r w:rsidR="00484AF8" w:rsidRPr="001E2A12">
        <w:rPr>
          <w:rFonts w:cstheme="minorHAnsi"/>
          <w:b/>
        </w:rPr>
        <w:t xml:space="preserve"> </w:t>
      </w:r>
      <w:r w:rsidR="00673E8D">
        <w:rPr>
          <w:rFonts w:cstheme="minorHAnsi"/>
          <w:b/>
        </w:rPr>
        <w:t xml:space="preserve">reaching </w:t>
      </w:r>
      <w:r w:rsidR="000E1A37" w:rsidRPr="001E2A12">
        <w:rPr>
          <w:rFonts w:cstheme="minorHAnsi"/>
          <w:b/>
        </w:rPr>
        <w:t xml:space="preserve"> about </w:t>
      </w:r>
      <w:r w:rsidR="00E7745A" w:rsidRPr="00766DDD">
        <w:rPr>
          <w:rFonts w:cstheme="minorHAnsi"/>
          <w:b/>
        </w:rPr>
        <w:t>€3.70 to 3.75</w:t>
      </w:r>
      <w:r w:rsidR="00BF6BE7" w:rsidRPr="001E2A12">
        <w:rPr>
          <w:rFonts w:cstheme="minorHAnsi"/>
          <w:b/>
        </w:rPr>
        <w:t xml:space="preserve"> (</w:t>
      </w:r>
      <w:r w:rsidR="00056341">
        <w:rPr>
          <w:rFonts w:cstheme="minorHAnsi"/>
          <w:b/>
        </w:rPr>
        <w:t>€</w:t>
      </w:r>
      <w:r w:rsidR="00BF6BE7" w:rsidRPr="001E2A12">
        <w:rPr>
          <w:rFonts w:cstheme="minorHAnsi"/>
          <w:b/>
        </w:rPr>
        <w:t>3.65 for FY 2019</w:t>
      </w:r>
      <w:r w:rsidR="00264FCE" w:rsidRPr="001E2A12">
        <w:rPr>
          <w:rFonts w:cstheme="minorHAnsi"/>
          <w:b/>
        </w:rPr>
        <w:t>)</w:t>
      </w:r>
      <w:r w:rsidR="000D104F" w:rsidRPr="001E2A12">
        <w:rPr>
          <w:rFonts w:cstheme="minorHAnsi"/>
          <w:b/>
        </w:rPr>
        <w:t xml:space="preserve"> </w:t>
      </w:r>
    </w:p>
    <w:p w14:paraId="25477BA2" w14:textId="2F95035B" w:rsidR="00845729" w:rsidRPr="00845729" w:rsidRDefault="00845729" w:rsidP="00B25211">
      <w:pPr>
        <w:pStyle w:val="ListParagraph"/>
        <w:rPr>
          <w:rFonts w:cstheme="minorHAnsi"/>
          <w:b/>
        </w:rPr>
      </w:pPr>
      <w:r w:rsidRPr="00845729">
        <w:rPr>
          <w:rFonts w:cstheme="minorHAnsi"/>
          <w:b/>
        </w:rPr>
        <w:t xml:space="preserve"> </w:t>
      </w:r>
    </w:p>
    <w:tbl>
      <w:tblPr>
        <w:tblW w:w="9351" w:type="dxa"/>
        <w:tblLayout w:type="fixed"/>
        <w:tblLook w:val="04A0" w:firstRow="1" w:lastRow="0" w:firstColumn="1" w:lastColumn="0" w:noHBand="0" w:noVBand="1"/>
      </w:tblPr>
      <w:tblGrid>
        <w:gridCol w:w="1980"/>
        <w:gridCol w:w="283"/>
        <w:gridCol w:w="851"/>
        <w:gridCol w:w="850"/>
        <w:gridCol w:w="851"/>
        <w:gridCol w:w="850"/>
        <w:gridCol w:w="284"/>
        <w:gridCol w:w="850"/>
        <w:gridCol w:w="851"/>
        <w:gridCol w:w="850"/>
        <w:gridCol w:w="851"/>
      </w:tblGrid>
      <w:tr w:rsidR="00CC7D36" w:rsidRPr="00CA4A72" w14:paraId="01100164" w14:textId="77777777" w:rsidTr="00CC7D36">
        <w:trPr>
          <w:trHeight w:val="255"/>
        </w:trPr>
        <w:tc>
          <w:tcPr>
            <w:tcW w:w="1980" w:type="dxa"/>
            <w:vMerge w:val="restart"/>
            <w:tcBorders>
              <w:top w:val="single" w:sz="4" w:space="0" w:color="auto"/>
              <w:left w:val="single" w:sz="4" w:space="0" w:color="auto"/>
              <w:bottom w:val="single" w:sz="4" w:space="0" w:color="000000"/>
              <w:right w:val="single" w:sz="4" w:space="0" w:color="auto"/>
            </w:tcBorders>
            <w:vAlign w:val="center"/>
            <w:hideMark/>
          </w:tcPr>
          <w:p w14:paraId="797ED999" w14:textId="77777777" w:rsidR="00CC7D36" w:rsidRPr="00CA4A72" w:rsidRDefault="00CC7D36" w:rsidP="00CC7D36">
            <w:pPr>
              <w:spacing w:line="276" w:lineRule="auto"/>
              <w:jc w:val="center"/>
              <w:rPr>
                <w:rFonts w:asciiTheme="minorHAnsi" w:eastAsia="Times New Roman" w:hAnsiTheme="minorHAnsi" w:cstheme="minorHAnsi"/>
                <w:sz w:val="14"/>
                <w:szCs w:val="14"/>
                <w:lang w:eastAsia="en-GB"/>
              </w:rPr>
            </w:pPr>
            <w:r w:rsidRPr="00CA4A72">
              <w:rPr>
                <w:rFonts w:asciiTheme="minorHAnsi" w:hAnsiTheme="minorHAnsi" w:cstheme="minorHAnsi"/>
                <w:sz w:val="14"/>
                <w:szCs w:val="14"/>
              </w:rPr>
              <w:t xml:space="preserve">In millions of Euros, </w:t>
            </w:r>
            <w:r w:rsidRPr="00CA4A72">
              <w:rPr>
                <w:rFonts w:asciiTheme="minorHAnsi" w:hAnsiTheme="minorHAnsi" w:cstheme="minorHAnsi"/>
                <w:sz w:val="14"/>
                <w:szCs w:val="14"/>
              </w:rPr>
              <w:br/>
              <w:t>except per share data and percentages</w:t>
            </w:r>
          </w:p>
        </w:tc>
        <w:tc>
          <w:tcPr>
            <w:tcW w:w="283" w:type="dxa"/>
            <w:noWrap/>
            <w:vAlign w:val="bottom"/>
          </w:tcPr>
          <w:p w14:paraId="126EB7B3" w14:textId="77777777" w:rsidR="00CC7D36" w:rsidRPr="00CA4A72" w:rsidRDefault="00CC7D36" w:rsidP="00CC7D36">
            <w:pPr>
              <w:spacing w:line="276" w:lineRule="auto"/>
              <w:jc w:val="center"/>
              <w:rPr>
                <w:rFonts w:asciiTheme="minorHAnsi" w:eastAsia="Times New Roman" w:hAnsiTheme="minorHAnsi" w:cstheme="minorHAnsi"/>
                <w:sz w:val="14"/>
                <w:szCs w:val="14"/>
                <w:lang w:eastAsia="en-GB"/>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C89FDE8"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eastAsia="Times New Roman" w:hAnsiTheme="minorHAnsi" w:cstheme="minorHAnsi"/>
                <w:b/>
                <w:bCs/>
                <w:sz w:val="14"/>
                <w:szCs w:val="14"/>
                <w:lang w:eastAsia="en-GB"/>
              </w:rPr>
              <w:t xml:space="preserve">IFRS </w:t>
            </w:r>
          </w:p>
        </w:tc>
        <w:tc>
          <w:tcPr>
            <w:tcW w:w="284" w:type="dxa"/>
            <w:noWrap/>
            <w:vAlign w:val="bottom"/>
          </w:tcPr>
          <w:p w14:paraId="14DE89BF"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8571D68"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eastAsia="Times New Roman" w:hAnsiTheme="minorHAnsi" w:cstheme="minorHAnsi"/>
                <w:b/>
                <w:bCs/>
                <w:sz w:val="14"/>
                <w:szCs w:val="14"/>
                <w:lang w:eastAsia="en-GB"/>
              </w:rPr>
              <w:t>IFRS</w:t>
            </w:r>
          </w:p>
        </w:tc>
      </w:tr>
      <w:tr w:rsidR="00CC7D36" w:rsidRPr="00CA4A72" w14:paraId="7245B4C8" w14:textId="77777777" w:rsidTr="00CC7D36">
        <w:trPr>
          <w:trHeight w:val="420"/>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5E120E4D" w14:textId="77777777" w:rsidR="00CC7D36" w:rsidRPr="00CA4A72" w:rsidRDefault="00CC7D36" w:rsidP="00CC7D36">
            <w:pPr>
              <w:spacing w:line="276" w:lineRule="auto"/>
              <w:rPr>
                <w:rFonts w:asciiTheme="minorHAnsi" w:eastAsia="Times New Roman" w:hAnsiTheme="minorHAnsi" w:cstheme="minorHAnsi"/>
                <w:sz w:val="14"/>
                <w:szCs w:val="14"/>
                <w:lang w:eastAsia="en-GB"/>
              </w:rPr>
            </w:pPr>
          </w:p>
        </w:tc>
        <w:tc>
          <w:tcPr>
            <w:tcW w:w="283" w:type="dxa"/>
            <w:noWrap/>
            <w:vAlign w:val="bottom"/>
          </w:tcPr>
          <w:p w14:paraId="75BB89EB"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701E5" w14:textId="77777777" w:rsidR="00CC7D36" w:rsidRPr="0038336B" w:rsidRDefault="00CC7D36" w:rsidP="00CC7D36">
            <w:pPr>
              <w:spacing w:line="276" w:lineRule="auto"/>
              <w:jc w:val="center"/>
              <w:rPr>
                <w:rFonts w:asciiTheme="minorHAnsi" w:eastAsia="Times New Roman" w:hAnsiTheme="minorHAnsi" w:cstheme="minorHAnsi"/>
                <w:b/>
                <w:bCs/>
                <w:sz w:val="14"/>
                <w:szCs w:val="14"/>
                <w:lang w:eastAsia="en-GB"/>
              </w:rPr>
            </w:pPr>
            <w:r w:rsidRPr="0038336B">
              <w:rPr>
                <w:rFonts w:asciiTheme="minorHAnsi" w:hAnsiTheme="minorHAnsi" w:cstheme="minorHAnsi"/>
                <w:b/>
                <w:bCs/>
                <w:sz w:val="14"/>
                <w:szCs w:val="14"/>
              </w:rPr>
              <w:t>Q2 2020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007C0B" w14:textId="77777777" w:rsidR="00CC7D36" w:rsidRPr="0038336B" w:rsidRDefault="00CC7D36" w:rsidP="00CC7D36">
            <w:pPr>
              <w:spacing w:line="276" w:lineRule="auto"/>
              <w:jc w:val="center"/>
              <w:rPr>
                <w:rFonts w:asciiTheme="minorHAnsi" w:eastAsia="Times New Roman" w:hAnsiTheme="minorHAnsi" w:cstheme="minorHAnsi"/>
                <w:b/>
                <w:bCs/>
                <w:sz w:val="14"/>
                <w:szCs w:val="14"/>
                <w:lang w:eastAsia="en-GB"/>
              </w:rPr>
            </w:pPr>
            <w:r w:rsidRPr="0038336B">
              <w:rPr>
                <w:rFonts w:asciiTheme="minorHAnsi" w:hAnsiTheme="minorHAnsi" w:cstheme="minorHAnsi"/>
                <w:b/>
                <w:bCs/>
                <w:sz w:val="14"/>
                <w:szCs w:val="16"/>
              </w:rPr>
              <w:t>Q2 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DA38145"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hAnsiTheme="minorHAnsi" w:cstheme="minorHAnsi"/>
                <w:b/>
                <w:bCs/>
                <w:sz w:val="14"/>
                <w:szCs w:val="14"/>
              </w:rPr>
              <w:t>Change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4A314A6"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Pr>
                <w:rFonts w:asciiTheme="minorHAnsi" w:hAnsiTheme="minorHAnsi" w:cstheme="minorHAnsi"/>
                <w:b/>
                <w:bCs/>
                <w:sz w:val="14"/>
                <w:szCs w:val="14"/>
              </w:rPr>
              <w:t xml:space="preserve">Change in </w:t>
            </w:r>
            <w:r w:rsidRPr="00F940FF">
              <w:rPr>
                <w:rFonts w:asciiTheme="minorHAnsi" w:hAnsiTheme="minorHAnsi" w:cstheme="minorHAnsi"/>
                <w:b/>
                <w:bCs/>
                <w:sz w:val="14"/>
                <w:szCs w:val="14"/>
              </w:rPr>
              <w:t>constant currencies</w:t>
            </w:r>
          </w:p>
        </w:tc>
        <w:tc>
          <w:tcPr>
            <w:tcW w:w="284" w:type="dxa"/>
            <w:noWrap/>
            <w:vAlign w:val="bottom"/>
          </w:tcPr>
          <w:p w14:paraId="6F5C0363"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ADA10"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hAnsiTheme="minorHAnsi" w:cstheme="minorHAnsi"/>
                <w:b/>
                <w:bCs/>
                <w:sz w:val="14"/>
                <w:szCs w:val="14"/>
              </w:rPr>
              <w:t>YTD 2020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2D8C5D46"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hAnsiTheme="minorHAnsi" w:cstheme="minorHAnsi"/>
                <w:b/>
                <w:bCs/>
                <w:sz w:val="14"/>
                <w:szCs w:val="14"/>
              </w:rPr>
              <w:t>YTD 2019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CE30883"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hAnsiTheme="minorHAnsi" w:cstheme="minorHAnsi"/>
                <w:b/>
                <w:bCs/>
                <w:sz w:val="14"/>
                <w:szCs w:val="14"/>
              </w:rPr>
              <w:t>Change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CCA91BC"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Pr>
                <w:rFonts w:asciiTheme="minorHAnsi" w:hAnsiTheme="minorHAnsi" w:cstheme="minorHAnsi"/>
                <w:b/>
                <w:bCs/>
                <w:sz w:val="14"/>
                <w:szCs w:val="14"/>
              </w:rPr>
              <w:t xml:space="preserve">Change in </w:t>
            </w:r>
            <w:r w:rsidRPr="00F940FF">
              <w:rPr>
                <w:rFonts w:asciiTheme="minorHAnsi" w:hAnsiTheme="minorHAnsi" w:cstheme="minorHAnsi"/>
                <w:b/>
                <w:bCs/>
                <w:sz w:val="14"/>
                <w:szCs w:val="14"/>
              </w:rPr>
              <w:t>constant currencies</w:t>
            </w:r>
          </w:p>
        </w:tc>
      </w:tr>
      <w:tr w:rsidR="00CC7D36" w:rsidRPr="00CA4A72" w14:paraId="678DCBCE" w14:textId="77777777" w:rsidTr="00CC7D36">
        <w:trPr>
          <w:trHeight w:val="227"/>
        </w:trPr>
        <w:tc>
          <w:tcPr>
            <w:tcW w:w="1980" w:type="dxa"/>
            <w:tcBorders>
              <w:top w:val="single" w:sz="4" w:space="0" w:color="auto"/>
              <w:left w:val="single" w:sz="4" w:space="0" w:color="auto"/>
              <w:bottom w:val="single" w:sz="4" w:space="0" w:color="auto"/>
              <w:right w:val="single" w:sz="4" w:space="0" w:color="auto"/>
            </w:tcBorders>
            <w:vAlign w:val="center"/>
            <w:hideMark/>
          </w:tcPr>
          <w:p w14:paraId="7735548A" w14:textId="77777777" w:rsidR="00CC7D36" w:rsidRPr="00CA4A72" w:rsidRDefault="00CC7D36" w:rsidP="00CC7D36">
            <w:pPr>
              <w:spacing w:line="276" w:lineRule="auto"/>
              <w:rPr>
                <w:rFonts w:asciiTheme="minorHAnsi" w:eastAsia="Times New Roman" w:hAnsiTheme="minorHAnsi" w:cstheme="minorHAnsi"/>
                <w:sz w:val="14"/>
                <w:szCs w:val="14"/>
                <w:lang w:eastAsia="en-GB"/>
              </w:rPr>
            </w:pPr>
            <w:r w:rsidRPr="00CA4A72">
              <w:rPr>
                <w:rFonts w:asciiTheme="minorHAnsi" w:hAnsiTheme="minorHAnsi" w:cstheme="minorHAnsi"/>
                <w:sz w:val="14"/>
                <w:szCs w:val="14"/>
              </w:rPr>
              <w:t>Total Revenue</w:t>
            </w:r>
          </w:p>
        </w:tc>
        <w:tc>
          <w:tcPr>
            <w:tcW w:w="283" w:type="dxa"/>
            <w:noWrap/>
            <w:vAlign w:val="bottom"/>
          </w:tcPr>
          <w:p w14:paraId="53F923F3" w14:textId="77777777" w:rsidR="00CC7D36" w:rsidRPr="00CA4A72" w:rsidRDefault="00CC7D36" w:rsidP="00CC7D36">
            <w:pPr>
              <w:spacing w:line="276" w:lineRule="auto"/>
              <w:ind w:firstLineChars="100" w:firstLine="140"/>
              <w:rPr>
                <w:rFonts w:asciiTheme="minorHAnsi" w:eastAsia="Times New Roman" w:hAnsiTheme="minorHAnsi" w:cstheme="minorHAnsi"/>
                <w:sz w:val="14"/>
                <w:szCs w:val="14"/>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E4F7D3"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1,068.7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40543"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961.4</w:t>
            </w:r>
          </w:p>
        </w:tc>
        <w:tc>
          <w:tcPr>
            <w:tcW w:w="851" w:type="dxa"/>
            <w:tcBorders>
              <w:top w:val="single" w:sz="4" w:space="0" w:color="auto"/>
              <w:left w:val="nil"/>
              <w:bottom w:val="single" w:sz="4" w:space="0" w:color="auto"/>
              <w:right w:val="single" w:sz="4" w:space="0" w:color="auto"/>
            </w:tcBorders>
            <w:shd w:val="clear" w:color="auto" w:fill="auto"/>
            <w:vAlign w:val="center"/>
          </w:tcPr>
          <w:p w14:paraId="234AAA3E"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11%</w:t>
            </w:r>
          </w:p>
        </w:tc>
        <w:tc>
          <w:tcPr>
            <w:tcW w:w="850" w:type="dxa"/>
            <w:tcBorders>
              <w:top w:val="single" w:sz="4" w:space="0" w:color="auto"/>
              <w:left w:val="nil"/>
              <w:bottom w:val="single" w:sz="4" w:space="0" w:color="auto"/>
              <w:right w:val="single" w:sz="4" w:space="0" w:color="auto"/>
            </w:tcBorders>
            <w:shd w:val="clear" w:color="auto" w:fill="auto"/>
            <w:vAlign w:val="center"/>
          </w:tcPr>
          <w:p w14:paraId="0271CA45"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r w:rsidRPr="00702A32">
              <w:rPr>
                <w:rFonts w:asciiTheme="minorHAnsi" w:hAnsiTheme="minorHAnsi" w:cstheme="minorHAnsi"/>
                <w:color w:val="000000"/>
                <w:sz w:val="14"/>
                <w:szCs w:val="14"/>
              </w:rPr>
              <w:t>10%</w:t>
            </w:r>
          </w:p>
        </w:tc>
        <w:tc>
          <w:tcPr>
            <w:tcW w:w="284" w:type="dxa"/>
            <w:noWrap/>
            <w:vAlign w:val="center"/>
          </w:tcPr>
          <w:p w14:paraId="62695FF4"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92F7E5"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2,203.3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3CFE62"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1,920.3</w:t>
            </w:r>
          </w:p>
        </w:tc>
        <w:tc>
          <w:tcPr>
            <w:tcW w:w="850" w:type="dxa"/>
            <w:tcBorders>
              <w:top w:val="single" w:sz="4" w:space="0" w:color="auto"/>
              <w:left w:val="nil"/>
              <w:bottom w:val="single" w:sz="4" w:space="0" w:color="auto"/>
              <w:right w:val="single" w:sz="4" w:space="0" w:color="auto"/>
            </w:tcBorders>
            <w:shd w:val="clear" w:color="auto" w:fill="auto"/>
            <w:vAlign w:val="center"/>
          </w:tcPr>
          <w:p w14:paraId="72F7C88B"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26D57F9F"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r w:rsidRPr="00702A32">
              <w:rPr>
                <w:rFonts w:asciiTheme="minorHAnsi" w:hAnsiTheme="minorHAnsi" w:cstheme="minorHAnsi"/>
                <w:color w:val="000000"/>
                <w:sz w:val="14"/>
                <w:szCs w:val="14"/>
              </w:rPr>
              <w:t>14%</w:t>
            </w:r>
          </w:p>
        </w:tc>
      </w:tr>
      <w:tr w:rsidR="00CC7D36" w:rsidRPr="00CA4A72" w14:paraId="1332F09D" w14:textId="77777777" w:rsidTr="00CC7D36">
        <w:trPr>
          <w:trHeight w:val="227"/>
        </w:trPr>
        <w:tc>
          <w:tcPr>
            <w:tcW w:w="1980" w:type="dxa"/>
            <w:tcBorders>
              <w:top w:val="nil"/>
              <w:left w:val="single" w:sz="4" w:space="0" w:color="auto"/>
              <w:bottom w:val="single" w:sz="4" w:space="0" w:color="auto"/>
              <w:right w:val="single" w:sz="4" w:space="0" w:color="auto"/>
            </w:tcBorders>
            <w:vAlign w:val="center"/>
            <w:hideMark/>
          </w:tcPr>
          <w:p w14:paraId="45D07DE5" w14:textId="77777777" w:rsidR="00CC7D36" w:rsidRPr="00CA4A72" w:rsidRDefault="00CC7D36" w:rsidP="00CC7D36">
            <w:pPr>
              <w:spacing w:line="276" w:lineRule="auto"/>
              <w:rPr>
                <w:rFonts w:asciiTheme="minorHAnsi" w:eastAsia="Times New Roman" w:hAnsiTheme="minorHAnsi" w:cstheme="minorHAnsi"/>
                <w:sz w:val="14"/>
                <w:szCs w:val="14"/>
                <w:lang w:eastAsia="en-GB"/>
              </w:rPr>
            </w:pPr>
            <w:r w:rsidRPr="00CA4A72">
              <w:rPr>
                <w:rFonts w:asciiTheme="minorHAnsi" w:hAnsiTheme="minorHAnsi" w:cstheme="minorHAnsi"/>
                <w:sz w:val="14"/>
                <w:szCs w:val="14"/>
              </w:rPr>
              <w:t>Software Revenue</w:t>
            </w:r>
          </w:p>
        </w:tc>
        <w:tc>
          <w:tcPr>
            <w:tcW w:w="283" w:type="dxa"/>
            <w:noWrap/>
            <w:vAlign w:val="bottom"/>
          </w:tcPr>
          <w:p w14:paraId="6A7A8EC8" w14:textId="77777777" w:rsidR="00CC7D36" w:rsidRPr="00CA4A72" w:rsidRDefault="00CC7D36" w:rsidP="00CC7D36">
            <w:pPr>
              <w:spacing w:line="276" w:lineRule="auto"/>
              <w:ind w:firstLineChars="100" w:firstLine="140"/>
              <w:rPr>
                <w:rFonts w:asciiTheme="minorHAnsi" w:eastAsia="Times New Roman" w:hAnsiTheme="minorHAnsi" w:cstheme="minorHAnsi"/>
                <w:sz w:val="14"/>
                <w:szCs w:val="14"/>
                <w:lang w:eastAsia="en-GB"/>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7AC491A1"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958.8</w:t>
            </w:r>
          </w:p>
        </w:tc>
        <w:tc>
          <w:tcPr>
            <w:tcW w:w="850" w:type="dxa"/>
            <w:tcBorders>
              <w:top w:val="nil"/>
              <w:left w:val="single" w:sz="4" w:space="0" w:color="auto"/>
              <w:bottom w:val="single" w:sz="4" w:space="0" w:color="auto"/>
              <w:right w:val="single" w:sz="4" w:space="0" w:color="auto"/>
            </w:tcBorders>
            <w:shd w:val="clear" w:color="auto" w:fill="auto"/>
            <w:vAlign w:val="center"/>
          </w:tcPr>
          <w:p w14:paraId="6213BACF"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847.4</w:t>
            </w:r>
          </w:p>
        </w:tc>
        <w:tc>
          <w:tcPr>
            <w:tcW w:w="851" w:type="dxa"/>
            <w:tcBorders>
              <w:top w:val="nil"/>
              <w:left w:val="nil"/>
              <w:bottom w:val="single" w:sz="4" w:space="0" w:color="auto"/>
              <w:right w:val="single" w:sz="4" w:space="0" w:color="auto"/>
            </w:tcBorders>
            <w:shd w:val="clear" w:color="auto" w:fill="auto"/>
            <w:vAlign w:val="center"/>
          </w:tcPr>
          <w:p w14:paraId="29F271A4"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13%</w:t>
            </w:r>
          </w:p>
        </w:tc>
        <w:tc>
          <w:tcPr>
            <w:tcW w:w="850" w:type="dxa"/>
            <w:tcBorders>
              <w:top w:val="nil"/>
              <w:left w:val="nil"/>
              <w:bottom w:val="single" w:sz="4" w:space="0" w:color="auto"/>
              <w:right w:val="single" w:sz="4" w:space="0" w:color="auto"/>
            </w:tcBorders>
            <w:shd w:val="clear" w:color="auto" w:fill="auto"/>
            <w:vAlign w:val="center"/>
          </w:tcPr>
          <w:p w14:paraId="54FE5D45"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r w:rsidRPr="00702A32">
              <w:rPr>
                <w:rFonts w:asciiTheme="minorHAnsi" w:hAnsiTheme="minorHAnsi" w:cstheme="minorHAnsi"/>
                <w:color w:val="000000"/>
                <w:sz w:val="14"/>
                <w:szCs w:val="14"/>
              </w:rPr>
              <w:t>12%</w:t>
            </w:r>
          </w:p>
        </w:tc>
        <w:tc>
          <w:tcPr>
            <w:tcW w:w="284" w:type="dxa"/>
            <w:noWrap/>
            <w:vAlign w:val="center"/>
          </w:tcPr>
          <w:p w14:paraId="3D4CFEDA"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4DD9C26B"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1,973.0</w:t>
            </w:r>
          </w:p>
        </w:tc>
        <w:tc>
          <w:tcPr>
            <w:tcW w:w="851" w:type="dxa"/>
            <w:tcBorders>
              <w:top w:val="nil"/>
              <w:left w:val="single" w:sz="4" w:space="0" w:color="auto"/>
              <w:bottom w:val="single" w:sz="4" w:space="0" w:color="auto"/>
              <w:right w:val="single" w:sz="4" w:space="0" w:color="auto"/>
            </w:tcBorders>
            <w:shd w:val="clear" w:color="auto" w:fill="auto"/>
            <w:vAlign w:val="center"/>
          </w:tcPr>
          <w:p w14:paraId="360458D1"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1,702.7</w:t>
            </w:r>
          </w:p>
        </w:tc>
        <w:tc>
          <w:tcPr>
            <w:tcW w:w="850" w:type="dxa"/>
            <w:tcBorders>
              <w:top w:val="nil"/>
              <w:left w:val="nil"/>
              <w:bottom w:val="single" w:sz="4" w:space="0" w:color="auto"/>
              <w:right w:val="single" w:sz="4" w:space="0" w:color="auto"/>
            </w:tcBorders>
            <w:shd w:val="clear" w:color="auto" w:fill="auto"/>
            <w:vAlign w:val="center"/>
          </w:tcPr>
          <w:p w14:paraId="5FD00A83"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16%</w:t>
            </w:r>
          </w:p>
        </w:tc>
        <w:tc>
          <w:tcPr>
            <w:tcW w:w="851" w:type="dxa"/>
            <w:tcBorders>
              <w:top w:val="nil"/>
              <w:left w:val="nil"/>
              <w:bottom w:val="single" w:sz="4" w:space="0" w:color="auto"/>
              <w:right w:val="single" w:sz="4" w:space="0" w:color="auto"/>
            </w:tcBorders>
            <w:shd w:val="clear" w:color="auto" w:fill="auto"/>
            <w:vAlign w:val="center"/>
          </w:tcPr>
          <w:p w14:paraId="4B303375"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r w:rsidRPr="00702A32">
              <w:rPr>
                <w:rFonts w:asciiTheme="minorHAnsi" w:hAnsiTheme="minorHAnsi" w:cstheme="minorHAnsi"/>
                <w:color w:val="000000"/>
                <w:sz w:val="14"/>
                <w:szCs w:val="14"/>
              </w:rPr>
              <w:t>15%</w:t>
            </w:r>
          </w:p>
        </w:tc>
      </w:tr>
      <w:tr w:rsidR="00CC7D36" w:rsidRPr="00CA4A72" w14:paraId="31281D0A" w14:textId="77777777" w:rsidTr="00CC7D36">
        <w:trPr>
          <w:trHeight w:val="227"/>
        </w:trPr>
        <w:tc>
          <w:tcPr>
            <w:tcW w:w="1980" w:type="dxa"/>
            <w:tcBorders>
              <w:top w:val="nil"/>
              <w:left w:val="single" w:sz="4" w:space="0" w:color="auto"/>
              <w:bottom w:val="single" w:sz="4" w:space="0" w:color="auto"/>
              <w:right w:val="single" w:sz="4" w:space="0" w:color="auto"/>
            </w:tcBorders>
            <w:vAlign w:val="center"/>
            <w:hideMark/>
          </w:tcPr>
          <w:p w14:paraId="24457A19" w14:textId="77777777" w:rsidR="00CC7D36" w:rsidRPr="00CA4A72" w:rsidRDefault="00CC7D36" w:rsidP="00CC7D36">
            <w:pPr>
              <w:spacing w:line="276" w:lineRule="auto"/>
              <w:rPr>
                <w:rFonts w:asciiTheme="minorHAnsi" w:eastAsia="Times New Roman" w:hAnsiTheme="minorHAnsi" w:cstheme="minorHAnsi"/>
                <w:sz w:val="14"/>
                <w:szCs w:val="14"/>
                <w:lang w:eastAsia="en-GB"/>
              </w:rPr>
            </w:pPr>
            <w:r w:rsidRPr="00CA4A72">
              <w:rPr>
                <w:rFonts w:asciiTheme="minorHAnsi" w:hAnsiTheme="minorHAnsi" w:cstheme="minorHAnsi"/>
                <w:sz w:val="14"/>
                <w:szCs w:val="14"/>
              </w:rPr>
              <w:t>Operating Margin</w:t>
            </w:r>
          </w:p>
        </w:tc>
        <w:tc>
          <w:tcPr>
            <w:tcW w:w="283" w:type="dxa"/>
            <w:noWrap/>
            <w:vAlign w:val="bottom"/>
          </w:tcPr>
          <w:p w14:paraId="1869DA5D" w14:textId="77777777" w:rsidR="00CC7D36" w:rsidRPr="00CA4A72" w:rsidRDefault="00CC7D36" w:rsidP="00CC7D36">
            <w:pPr>
              <w:spacing w:line="276" w:lineRule="auto"/>
              <w:ind w:firstLineChars="100" w:firstLine="140"/>
              <w:rPr>
                <w:rFonts w:asciiTheme="minorHAnsi" w:eastAsia="Times New Roman" w:hAnsiTheme="minorHAnsi" w:cstheme="minorHAnsi"/>
                <w:sz w:val="14"/>
                <w:szCs w:val="14"/>
                <w:lang w:eastAsia="en-GB"/>
              </w:rPr>
            </w:pPr>
          </w:p>
        </w:tc>
        <w:tc>
          <w:tcPr>
            <w:tcW w:w="851" w:type="dxa"/>
            <w:tcBorders>
              <w:top w:val="nil"/>
              <w:left w:val="single" w:sz="4" w:space="0" w:color="auto"/>
              <w:bottom w:val="single" w:sz="4" w:space="0" w:color="auto"/>
              <w:right w:val="single" w:sz="4" w:space="0" w:color="auto"/>
            </w:tcBorders>
            <w:shd w:val="clear" w:color="000000" w:fill="FFFFFF"/>
            <w:vAlign w:val="center"/>
          </w:tcPr>
          <w:p w14:paraId="2FEAEDFD"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10.4%</w:t>
            </w:r>
          </w:p>
        </w:tc>
        <w:tc>
          <w:tcPr>
            <w:tcW w:w="850" w:type="dxa"/>
            <w:tcBorders>
              <w:top w:val="single" w:sz="4" w:space="0" w:color="auto"/>
              <w:left w:val="single" w:sz="4" w:space="0" w:color="auto"/>
              <w:bottom w:val="single" w:sz="4" w:space="0" w:color="auto"/>
              <w:right w:val="nil"/>
            </w:tcBorders>
            <w:shd w:val="clear" w:color="auto" w:fill="auto"/>
            <w:vAlign w:val="center"/>
          </w:tcPr>
          <w:p w14:paraId="62B8D255"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18.9%</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6769F565"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(8.6)pts</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66F820D2" w14:textId="77777777" w:rsidR="00CC7D36" w:rsidRPr="00702A32" w:rsidRDefault="00CC7D36" w:rsidP="00CC7D36">
            <w:pPr>
              <w:spacing w:line="276" w:lineRule="auto"/>
              <w:jc w:val="center"/>
              <w:rPr>
                <w:rFonts w:asciiTheme="minorHAnsi" w:eastAsia="Times New Roman" w:hAnsiTheme="minorHAnsi" w:cstheme="minorHAnsi"/>
                <w:b/>
                <w:bCs/>
                <w:color w:val="005386"/>
                <w:sz w:val="14"/>
                <w:szCs w:val="14"/>
                <w:lang w:eastAsia="en-GB"/>
              </w:rPr>
            </w:pPr>
          </w:p>
        </w:tc>
        <w:tc>
          <w:tcPr>
            <w:tcW w:w="284" w:type="dxa"/>
            <w:noWrap/>
            <w:vAlign w:val="center"/>
          </w:tcPr>
          <w:p w14:paraId="580FFF2A" w14:textId="77777777" w:rsidR="00CC7D36" w:rsidRPr="00702A32" w:rsidRDefault="00CC7D36" w:rsidP="00CC7D36">
            <w:pPr>
              <w:spacing w:line="276" w:lineRule="auto"/>
              <w:jc w:val="center"/>
              <w:rPr>
                <w:rFonts w:asciiTheme="minorHAnsi" w:eastAsia="Times New Roman" w:hAnsiTheme="minorHAnsi" w:cstheme="minorHAnsi"/>
                <w:b/>
                <w:bCs/>
                <w:color w:val="005386"/>
                <w:sz w:val="14"/>
                <w:szCs w:val="14"/>
                <w:lang w:eastAsia="en-GB"/>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78BCD727"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11.9%</w:t>
            </w:r>
          </w:p>
        </w:tc>
        <w:tc>
          <w:tcPr>
            <w:tcW w:w="851" w:type="dxa"/>
            <w:tcBorders>
              <w:top w:val="nil"/>
              <w:left w:val="single" w:sz="4" w:space="0" w:color="auto"/>
              <w:bottom w:val="single" w:sz="4" w:space="0" w:color="auto"/>
              <w:right w:val="single" w:sz="4" w:space="0" w:color="auto"/>
            </w:tcBorders>
            <w:shd w:val="clear" w:color="auto" w:fill="auto"/>
            <w:vAlign w:val="center"/>
          </w:tcPr>
          <w:p w14:paraId="7F96FEC1"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20.7%</w:t>
            </w:r>
          </w:p>
        </w:tc>
        <w:tc>
          <w:tcPr>
            <w:tcW w:w="850" w:type="dxa"/>
            <w:tcBorders>
              <w:top w:val="nil"/>
              <w:left w:val="nil"/>
              <w:bottom w:val="single" w:sz="4" w:space="0" w:color="auto"/>
              <w:right w:val="single" w:sz="4" w:space="0" w:color="auto"/>
            </w:tcBorders>
            <w:shd w:val="clear" w:color="000000" w:fill="FFFFFF"/>
            <w:vAlign w:val="center"/>
          </w:tcPr>
          <w:p w14:paraId="5EB84199"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(8.8)pts</w:t>
            </w:r>
          </w:p>
        </w:tc>
        <w:tc>
          <w:tcPr>
            <w:tcW w:w="851" w:type="dxa"/>
            <w:tcBorders>
              <w:top w:val="nil"/>
              <w:left w:val="nil"/>
              <w:bottom w:val="single" w:sz="4" w:space="0" w:color="auto"/>
              <w:right w:val="single" w:sz="4" w:space="0" w:color="auto"/>
            </w:tcBorders>
            <w:shd w:val="clear" w:color="auto" w:fill="auto"/>
            <w:vAlign w:val="center"/>
          </w:tcPr>
          <w:p w14:paraId="5DB984CA"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p>
        </w:tc>
      </w:tr>
      <w:tr w:rsidR="00CC7D36" w:rsidRPr="00CA4A72" w14:paraId="54345750" w14:textId="77777777" w:rsidTr="00CC7D36">
        <w:trPr>
          <w:trHeight w:val="227"/>
        </w:trPr>
        <w:tc>
          <w:tcPr>
            <w:tcW w:w="1980" w:type="dxa"/>
            <w:tcBorders>
              <w:top w:val="nil"/>
              <w:left w:val="single" w:sz="4" w:space="0" w:color="auto"/>
              <w:bottom w:val="single" w:sz="4" w:space="0" w:color="auto"/>
              <w:right w:val="single" w:sz="4" w:space="0" w:color="auto"/>
            </w:tcBorders>
            <w:vAlign w:val="center"/>
            <w:hideMark/>
          </w:tcPr>
          <w:p w14:paraId="6AEED26F" w14:textId="77777777" w:rsidR="00CC7D36" w:rsidRPr="00CA4A72" w:rsidRDefault="00CC7D36" w:rsidP="00CC7D36">
            <w:pPr>
              <w:spacing w:line="276" w:lineRule="auto"/>
              <w:rPr>
                <w:rFonts w:asciiTheme="minorHAnsi" w:eastAsia="Times New Roman" w:hAnsiTheme="minorHAnsi" w:cstheme="minorHAnsi"/>
                <w:sz w:val="14"/>
                <w:szCs w:val="14"/>
                <w:lang w:eastAsia="en-GB"/>
              </w:rPr>
            </w:pPr>
            <w:r w:rsidRPr="00CA4A72">
              <w:rPr>
                <w:rFonts w:asciiTheme="minorHAnsi" w:hAnsiTheme="minorHAnsi" w:cstheme="minorHAnsi"/>
                <w:sz w:val="14"/>
                <w:szCs w:val="14"/>
              </w:rPr>
              <w:t>EPS</w:t>
            </w:r>
          </w:p>
        </w:tc>
        <w:tc>
          <w:tcPr>
            <w:tcW w:w="283" w:type="dxa"/>
            <w:noWrap/>
            <w:vAlign w:val="bottom"/>
          </w:tcPr>
          <w:p w14:paraId="670BE94D" w14:textId="77777777" w:rsidR="00CC7D36" w:rsidRPr="00CA4A72" w:rsidRDefault="00CC7D36" w:rsidP="00CC7D36">
            <w:pPr>
              <w:spacing w:line="276" w:lineRule="auto"/>
              <w:ind w:firstLineChars="100" w:firstLine="140"/>
              <w:rPr>
                <w:rFonts w:asciiTheme="minorHAnsi" w:eastAsia="Times New Roman" w:hAnsiTheme="minorHAnsi" w:cstheme="minorHAnsi"/>
                <w:sz w:val="14"/>
                <w:szCs w:val="14"/>
                <w:lang w:eastAsia="en-GB"/>
              </w:rPr>
            </w:pPr>
          </w:p>
        </w:tc>
        <w:tc>
          <w:tcPr>
            <w:tcW w:w="851" w:type="dxa"/>
            <w:tcBorders>
              <w:top w:val="nil"/>
              <w:left w:val="single" w:sz="4" w:space="0" w:color="auto"/>
              <w:bottom w:val="single" w:sz="4" w:space="0" w:color="auto"/>
              <w:right w:val="single" w:sz="4" w:space="0" w:color="auto"/>
            </w:tcBorders>
            <w:shd w:val="clear" w:color="000000" w:fill="FFFFFF"/>
            <w:vAlign w:val="center"/>
          </w:tcPr>
          <w:p w14:paraId="4F022E46"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0.32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21B62493"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0.51</w:t>
            </w:r>
          </w:p>
        </w:tc>
        <w:tc>
          <w:tcPr>
            <w:tcW w:w="851" w:type="dxa"/>
            <w:tcBorders>
              <w:top w:val="nil"/>
              <w:left w:val="nil"/>
              <w:bottom w:val="single" w:sz="4" w:space="0" w:color="auto"/>
              <w:right w:val="single" w:sz="4" w:space="0" w:color="auto"/>
            </w:tcBorders>
            <w:shd w:val="clear" w:color="auto" w:fill="auto"/>
            <w:vAlign w:val="center"/>
          </w:tcPr>
          <w:p w14:paraId="63A5D984"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(38)%</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6C968D0B"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p>
        </w:tc>
        <w:tc>
          <w:tcPr>
            <w:tcW w:w="284" w:type="dxa"/>
            <w:noWrap/>
            <w:vAlign w:val="center"/>
          </w:tcPr>
          <w:p w14:paraId="66ADD502"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35D18ADD"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0.74</w:t>
            </w:r>
          </w:p>
        </w:tc>
        <w:tc>
          <w:tcPr>
            <w:tcW w:w="851" w:type="dxa"/>
            <w:tcBorders>
              <w:top w:val="nil"/>
              <w:left w:val="single" w:sz="4" w:space="0" w:color="auto"/>
              <w:bottom w:val="single" w:sz="4" w:space="0" w:color="auto"/>
              <w:right w:val="single" w:sz="4" w:space="0" w:color="auto"/>
            </w:tcBorders>
            <w:shd w:val="clear" w:color="auto" w:fill="auto"/>
            <w:vAlign w:val="center"/>
          </w:tcPr>
          <w:p w14:paraId="42C911A8"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1.13</w:t>
            </w:r>
          </w:p>
        </w:tc>
        <w:tc>
          <w:tcPr>
            <w:tcW w:w="850" w:type="dxa"/>
            <w:tcBorders>
              <w:top w:val="nil"/>
              <w:left w:val="nil"/>
              <w:bottom w:val="single" w:sz="4" w:space="0" w:color="auto"/>
              <w:right w:val="single" w:sz="4" w:space="0" w:color="auto"/>
            </w:tcBorders>
            <w:shd w:val="clear" w:color="auto" w:fill="auto"/>
            <w:vAlign w:val="center"/>
          </w:tcPr>
          <w:p w14:paraId="36B73DE9"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(34)%</w:t>
            </w:r>
          </w:p>
        </w:tc>
        <w:tc>
          <w:tcPr>
            <w:tcW w:w="851" w:type="dxa"/>
            <w:tcBorders>
              <w:top w:val="nil"/>
              <w:left w:val="nil"/>
              <w:bottom w:val="single" w:sz="4" w:space="0" w:color="auto"/>
              <w:right w:val="single" w:sz="4" w:space="0" w:color="auto"/>
            </w:tcBorders>
            <w:shd w:val="clear" w:color="auto" w:fill="auto"/>
            <w:vAlign w:val="center"/>
          </w:tcPr>
          <w:p w14:paraId="2ECEF25B"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p>
        </w:tc>
      </w:tr>
    </w:tbl>
    <w:p w14:paraId="691EB2A4" w14:textId="77777777" w:rsidR="00CC7D36" w:rsidRDefault="00CC7D36" w:rsidP="00B25211">
      <w:pPr>
        <w:pStyle w:val="ListParagraph"/>
        <w:spacing w:after="120"/>
        <w:jc w:val="both"/>
        <w:rPr>
          <w:rFonts w:cstheme="minorHAnsi"/>
          <w:b/>
        </w:rPr>
      </w:pPr>
    </w:p>
    <w:tbl>
      <w:tblPr>
        <w:tblW w:w="9351" w:type="dxa"/>
        <w:tblLayout w:type="fixed"/>
        <w:tblLook w:val="04A0" w:firstRow="1" w:lastRow="0" w:firstColumn="1" w:lastColumn="0" w:noHBand="0" w:noVBand="1"/>
      </w:tblPr>
      <w:tblGrid>
        <w:gridCol w:w="1980"/>
        <w:gridCol w:w="283"/>
        <w:gridCol w:w="851"/>
        <w:gridCol w:w="850"/>
        <w:gridCol w:w="851"/>
        <w:gridCol w:w="850"/>
        <w:gridCol w:w="284"/>
        <w:gridCol w:w="850"/>
        <w:gridCol w:w="851"/>
        <w:gridCol w:w="850"/>
        <w:gridCol w:w="851"/>
      </w:tblGrid>
      <w:tr w:rsidR="00CC7D36" w:rsidRPr="00CA4A72" w14:paraId="412C9B6E" w14:textId="77777777" w:rsidTr="00CC7D36">
        <w:trPr>
          <w:trHeight w:val="255"/>
        </w:trPr>
        <w:tc>
          <w:tcPr>
            <w:tcW w:w="1980" w:type="dxa"/>
            <w:vMerge w:val="restart"/>
            <w:tcBorders>
              <w:top w:val="single" w:sz="4" w:space="0" w:color="auto"/>
              <w:left w:val="single" w:sz="4" w:space="0" w:color="auto"/>
              <w:bottom w:val="single" w:sz="4" w:space="0" w:color="000000"/>
              <w:right w:val="single" w:sz="4" w:space="0" w:color="auto"/>
            </w:tcBorders>
            <w:vAlign w:val="center"/>
            <w:hideMark/>
          </w:tcPr>
          <w:p w14:paraId="1A70367D" w14:textId="77777777" w:rsidR="00CC7D36" w:rsidRPr="00CA4A72" w:rsidRDefault="00CC7D36" w:rsidP="00CC7D36">
            <w:pPr>
              <w:spacing w:line="276" w:lineRule="auto"/>
              <w:jc w:val="center"/>
              <w:rPr>
                <w:rFonts w:asciiTheme="minorHAnsi" w:eastAsia="Times New Roman" w:hAnsiTheme="minorHAnsi" w:cstheme="minorHAnsi"/>
                <w:sz w:val="14"/>
                <w:szCs w:val="14"/>
                <w:lang w:eastAsia="en-GB"/>
              </w:rPr>
            </w:pPr>
            <w:r w:rsidRPr="00CA4A72">
              <w:rPr>
                <w:rFonts w:asciiTheme="minorHAnsi" w:hAnsiTheme="minorHAnsi" w:cstheme="minorHAnsi"/>
                <w:sz w:val="14"/>
                <w:szCs w:val="14"/>
              </w:rPr>
              <w:t xml:space="preserve">In millions of Euros, </w:t>
            </w:r>
            <w:r w:rsidRPr="00CA4A72">
              <w:rPr>
                <w:rFonts w:asciiTheme="minorHAnsi" w:hAnsiTheme="minorHAnsi" w:cstheme="minorHAnsi"/>
                <w:sz w:val="14"/>
                <w:szCs w:val="14"/>
              </w:rPr>
              <w:br/>
              <w:t>except per share data and percentages</w:t>
            </w:r>
          </w:p>
        </w:tc>
        <w:tc>
          <w:tcPr>
            <w:tcW w:w="283" w:type="dxa"/>
            <w:noWrap/>
            <w:vAlign w:val="bottom"/>
          </w:tcPr>
          <w:p w14:paraId="5DE718F3" w14:textId="77777777" w:rsidR="00CC7D36" w:rsidRPr="00CA4A72" w:rsidRDefault="00CC7D36" w:rsidP="00CC7D36">
            <w:pPr>
              <w:spacing w:line="276" w:lineRule="auto"/>
              <w:jc w:val="center"/>
              <w:rPr>
                <w:rFonts w:asciiTheme="minorHAnsi" w:eastAsia="Times New Roman" w:hAnsiTheme="minorHAnsi" w:cstheme="minorHAnsi"/>
                <w:sz w:val="14"/>
                <w:szCs w:val="14"/>
                <w:lang w:eastAsia="en-GB"/>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5B4FD52"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eastAsia="Times New Roman" w:hAnsiTheme="minorHAnsi" w:cstheme="minorHAnsi"/>
                <w:b/>
                <w:bCs/>
                <w:sz w:val="14"/>
                <w:szCs w:val="14"/>
                <w:lang w:eastAsia="en-GB"/>
              </w:rPr>
              <w:t xml:space="preserve">Non-IFRS </w:t>
            </w:r>
          </w:p>
        </w:tc>
        <w:tc>
          <w:tcPr>
            <w:tcW w:w="284" w:type="dxa"/>
            <w:noWrap/>
            <w:vAlign w:val="bottom"/>
          </w:tcPr>
          <w:p w14:paraId="0B66DA81"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3D944AF"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eastAsia="Times New Roman" w:hAnsiTheme="minorHAnsi" w:cstheme="minorHAnsi"/>
                <w:b/>
                <w:bCs/>
                <w:sz w:val="14"/>
                <w:szCs w:val="14"/>
                <w:lang w:eastAsia="en-GB"/>
              </w:rPr>
              <w:t>Non-IFRS</w:t>
            </w:r>
          </w:p>
        </w:tc>
      </w:tr>
      <w:tr w:rsidR="00CC7D36" w:rsidRPr="00CA4A72" w14:paraId="28E4E9DA" w14:textId="77777777" w:rsidTr="00CC7D36">
        <w:trPr>
          <w:trHeight w:val="420"/>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6753AB18" w14:textId="77777777" w:rsidR="00CC7D36" w:rsidRPr="00CA4A72" w:rsidRDefault="00CC7D36" w:rsidP="00CC7D36">
            <w:pPr>
              <w:spacing w:line="276" w:lineRule="auto"/>
              <w:rPr>
                <w:rFonts w:asciiTheme="minorHAnsi" w:eastAsia="Times New Roman" w:hAnsiTheme="minorHAnsi" w:cstheme="minorHAnsi"/>
                <w:sz w:val="14"/>
                <w:szCs w:val="14"/>
                <w:lang w:eastAsia="en-GB"/>
              </w:rPr>
            </w:pPr>
          </w:p>
        </w:tc>
        <w:tc>
          <w:tcPr>
            <w:tcW w:w="283" w:type="dxa"/>
            <w:noWrap/>
            <w:vAlign w:val="bottom"/>
          </w:tcPr>
          <w:p w14:paraId="0FD79349"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09A5" w14:textId="77777777" w:rsidR="00CC7D36" w:rsidRPr="0038336B" w:rsidRDefault="00CC7D36" w:rsidP="00CC7D36">
            <w:pPr>
              <w:spacing w:line="276" w:lineRule="auto"/>
              <w:jc w:val="center"/>
              <w:rPr>
                <w:rFonts w:asciiTheme="minorHAnsi" w:eastAsia="Times New Roman" w:hAnsiTheme="minorHAnsi" w:cstheme="minorHAnsi"/>
                <w:b/>
                <w:bCs/>
                <w:sz w:val="14"/>
                <w:szCs w:val="14"/>
                <w:lang w:eastAsia="en-GB"/>
              </w:rPr>
            </w:pPr>
            <w:r w:rsidRPr="0038336B">
              <w:rPr>
                <w:rFonts w:asciiTheme="minorHAnsi" w:hAnsiTheme="minorHAnsi" w:cstheme="minorHAnsi"/>
                <w:b/>
                <w:bCs/>
                <w:sz w:val="14"/>
                <w:szCs w:val="14"/>
              </w:rPr>
              <w:t>Q2 2020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90ECA3" w14:textId="77777777" w:rsidR="00CC7D36" w:rsidRPr="0038336B" w:rsidRDefault="00CC7D36" w:rsidP="00CC7D36">
            <w:pPr>
              <w:spacing w:line="276" w:lineRule="auto"/>
              <w:jc w:val="center"/>
              <w:rPr>
                <w:rFonts w:asciiTheme="minorHAnsi" w:eastAsia="Times New Roman" w:hAnsiTheme="minorHAnsi" w:cstheme="minorHAnsi"/>
                <w:b/>
                <w:bCs/>
                <w:sz w:val="14"/>
                <w:szCs w:val="14"/>
                <w:lang w:eastAsia="en-GB"/>
              </w:rPr>
            </w:pPr>
            <w:r w:rsidRPr="0038336B">
              <w:rPr>
                <w:rFonts w:asciiTheme="minorHAnsi" w:hAnsiTheme="minorHAnsi" w:cstheme="minorHAnsi"/>
                <w:b/>
                <w:bCs/>
                <w:sz w:val="14"/>
                <w:szCs w:val="16"/>
              </w:rPr>
              <w:t>Q2 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7D3000F"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hAnsiTheme="minorHAnsi" w:cstheme="minorHAnsi"/>
                <w:b/>
                <w:bCs/>
                <w:sz w:val="14"/>
                <w:szCs w:val="14"/>
              </w:rPr>
              <w:t>Change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4B606EE"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Pr>
                <w:rFonts w:asciiTheme="minorHAnsi" w:hAnsiTheme="minorHAnsi" w:cstheme="minorHAnsi"/>
                <w:b/>
                <w:bCs/>
                <w:sz w:val="14"/>
                <w:szCs w:val="14"/>
              </w:rPr>
              <w:t xml:space="preserve">Change in </w:t>
            </w:r>
            <w:r w:rsidRPr="00F940FF">
              <w:rPr>
                <w:rFonts w:asciiTheme="minorHAnsi" w:hAnsiTheme="minorHAnsi" w:cstheme="minorHAnsi"/>
                <w:b/>
                <w:bCs/>
                <w:sz w:val="14"/>
                <w:szCs w:val="14"/>
              </w:rPr>
              <w:t>constant currencies</w:t>
            </w:r>
          </w:p>
        </w:tc>
        <w:tc>
          <w:tcPr>
            <w:tcW w:w="284" w:type="dxa"/>
            <w:noWrap/>
            <w:vAlign w:val="bottom"/>
          </w:tcPr>
          <w:p w14:paraId="1634BD3E"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CB2C4"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hAnsiTheme="minorHAnsi" w:cstheme="minorHAnsi"/>
                <w:b/>
                <w:bCs/>
                <w:sz w:val="14"/>
                <w:szCs w:val="14"/>
              </w:rPr>
              <w:t>YTD 2020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1972C85F"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hAnsiTheme="minorHAnsi" w:cstheme="minorHAnsi"/>
                <w:b/>
                <w:bCs/>
                <w:sz w:val="14"/>
                <w:szCs w:val="14"/>
              </w:rPr>
              <w:t>YTD 2019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37D9CB5"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hAnsiTheme="minorHAnsi" w:cstheme="minorHAnsi"/>
                <w:b/>
                <w:bCs/>
                <w:sz w:val="14"/>
                <w:szCs w:val="14"/>
              </w:rPr>
              <w:t>Change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4F1BCCD"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Pr>
                <w:rFonts w:asciiTheme="minorHAnsi" w:hAnsiTheme="minorHAnsi" w:cstheme="minorHAnsi"/>
                <w:b/>
                <w:bCs/>
                <w:sz w:val="14"/>
                <w:szCs w:val="14"/>
              </w:rPr>
              <w:t xml:space="preserve">Change in </w:t>
            </w:r>
            <w:r w:rsidRPr="00F940FF">
              <w:rPr>
                <w:rFonts w:asciiTheme="minorHAnsi" w:hAnsiTheme="minorHAnsi" w:cstheme="minorHAnsi"/>
                <w:b/>
                <w:bCs/>
                <w:sz w:val="14"/>
                <w:szCs w:val="14"/>
              </w:rPr>
              <w:t>constant currencies</w:t>
            </w:r>
          </w:p>
        </w:tc>
      </w:tr>
      <w:tr w:rsidR="00CC7D36" w:rsidRPr="00CA4A72" w14:paraId="75B123AC" w14:textId="77777777" w:rsidTr="00CC7D36">
        <w:trPr>
          <w:trHeight w:val="227"/>
        </w:trPr>
        <w:tc>
          <w:tcPr>
            <w:tcW w:w="1980" w:type="dxa"/>
            <w:tcBorders>
              <w:top w:val="single" w:sz="4" w:space="0" w:color="auto"/>
              <w:left w:val="single" w:sz="4" w:space="0" w:color="auto"/>
              <w:bottom w:val="single" w:sz="4" w:space="0" w:color="auto"/>
              <w:right w:val="single" w:sz="4" w:space="0" w:color="auto"/>
            </w:tcBorders>
            <w:vAlign w:val="center"/>
            <w:hideMark/>
          </w:tcPr>
          <w:p w14:paraId="70EC20D1" w14:textId="77777777" w:rsidR="00CC7D36" w:rsidRPr="00CA4A72" w:rsidRDefault="00CC7D36" w:rsidP="00CC7D36">
            <w:pPr>
              <w:spacing w:line="276" w:lineRule="auto"/>
              <w:rPr>
                <w:rFonts w:asciiTheme="minorHAnsi" w:eastAsia="Times New Roman" w:hAnsiTheme="minorHAnsi" w:cstheme="minorHAnsi"/>
                <w:sz w:val="14"/>
                <w:szCs w:val="14"/>
                <w:lang w:eastAsia="en-GB"/>
              </w:rPr>
            </w:pPr>
            <w:r w:rsidRPr="00CA4A72">
              <w:rPr>
                <w:rFonts w:asciiTheme="minorHAnsi" w:hAnsiTheme="minorHAnsi" w:cstheme="minorHAnsi"/>
                <w:sz w:val="14"/>
                <w:szCs w:val="14"/>
              </w:rPr>
              <w:t>Total Revenue</w:t>
            </w:r>
          </w:p>
        </w:tc>
        <w:tc>
          <w:tcPr>
            <w:tcW w:w="283" w:type="dxa"/>
            <w:noWrap/>
            <w:vAlign w:val="bottom"/>
          </w:tcPr>
          <w:p w14:paraId="2DB3DCDA" w14:textId="77777777" w:rsidR="00CC7D36" w:rsidRPr="00CA4A72" w:rsidRDefault="00CC7D36" w:rsidP="00CC7D36">
            <w:pPr>
              <w:spacing w:line="276" w:lineRule="auto"/>
              <w:ind w:firstLineChars="100" w:firstLine="140"/>
              <w:rPr>
                <w:rFonts w:asciiTheme="minorHAnsi" w:eastAsia="Times New Roman" w:hAnsiTheme="minorHAnsi" w:cstheme="minorHAnsi"/>
                <w:sz w:val="14"/>
                <w:szCs w:val="14"/>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2C5276"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1,070.6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646CB6"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965.4</w:t>
            </w:r>
          </w:p>
        </w:tc>
        <w:tc>
          <w:tcPr>
            <w:tcW w:w="851" w:type="dxa"/>
            <w:tcBorders>
              <w:top w:val="single" w:sz="4" w:space="0" w:color="auto"/>
              <w:left w:val="nil"/>
              <w:bottom w:val="single" w:sz="4" w:space="0" w:color="auto"/>
              <w:right w:val="single" w:sz="4" w:space="0" w:color="auto"/>
            </w:tcBorders>
            <w:shd w:val="clear" w:color="auto" w:fill="auto"/>
            <w:vAlign w:val="center"/>
          </w:tcPr>
          <w:p w14:paraId="32AB2E8D"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11%</w:t>
            </w:r>
          </w:p>
        </w:tc>
        <w:tc>
          <w:tcPr>
            <w:tcW w:w="850" w:type="dxa"/>
            <w:tcBorders>
              <w:top w:val="single" w:sz="4" w:space="0" w:color="auto"/>
              <w:left w:val="nil"/>
              <w:bottom w:val="single" w:sz="4" w:space="0" w:color="auto"/>
              <w:right w:val="single" w:sz="4" w:space="0" w:color="auto"/>
            </w:tcBorders>
            <w:shd w:val="clear" w:color="auto" w:fill="auto"/>
            <w:vAlign w:val="center"/>
          </w:tcPr>
          <w:p w14:paraId="6C25A60B"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r w:rsidRPr="00702A32">
              <w:rPr>
                <w:rFonts w:asciiTheme="minorHAnsi" w:hAnsiTheme="minorHAnsi" w:cstheme="minorHAnsi"/>
                <w:color w:val="000000"/>
                <w:sz w:val="14"/>
                <w:szCs w:val="14"/>
              </w:rPr>
              <w:t>10%</w:t>
            </w:r>
          </w:p>
        </w:tc>
        <w:tc>
          <w:tcPr>
            <w:tcW w:w="284" w:type="dxa"/>
            <w:noWrap/>
            <w:vAlign w:val="center"/>
          </w:tcPr>
          <w:p w14:paraId="7B5FF77E"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A69496"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2,215.0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9F030E"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1,929.4</w:t>
            </w:r>
          </w:p>
        </w:tc>
        <w:tc>
          <w:tcPr>
            <w:tcW w:w="850" w:type="dxa"/>
            <w:tcBorders>
              <w:top w:val="single" w:sz="4" w:space="0" w:color="auto"/>
              <w:left w:val="nil"/>
              <w:bottom w:val="single" w:sz="4" w:space="0" w:color="auto"/>
              <w:right w:val="single" w:sz="4" w:space="0" w:color="auto"/>
            </w:tcBorders>
            <w:shd w:val="clear" w:color="auto" w:fill="auto"/>
            <w:vAlign w:val="center"/>
          </w:tcPr>
          <w:p w14:paraId="5F44EB47"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7202EFA9"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r w:rsidRPr="00702A32">
              <w:rPr>
                <w:rFonts w:asciiTheme="minorHAnsi" w:hAnsiTheme="minorHAnsi" w:cstheme="minorHAnsi"/>
                <w:color w:val="000000"/>
                <w:sz w:val="14"/>
                <w:szCs w:val="14"/>
              </w:rPr>
              <w:t>14%</w:t>
            </w:r>
          </w:p>
        </w:tc>
      </w:tr>
      <w:tr w:rsidR="00CC7D36" w:rsidRPr="00CA4A72" w14:paraId="242B617A" w14:textId="77777777" w:rsidTr="00CC7D36">
        <w:trPr>
          <w:trHeight w:val="227"/>
        </w:trPr>
        <w:tc>
          <w:tcPr>
            <w:tcW w:w="1980" w:type="dxa"/>
            <w:tcBorders>
              <w:top w:val="nil"/>
              <w:left w:val="single" w:sz="4" w:space="0" w:color="auto"/>
              <w:bottom w:val="single" w:sz="4" w:space="0" w:color="auto"/>
              <w:right w:val="single" w:sz="4" w:space="0" w:color="auto"/>
            </w:tcBorders>
            <w:vAlign w:val="center"/>
            <w:hideMark/>
          </w:tcPr>
          <w:p w14:paraId="27B2724D" w14:textId="77777777" w:rsidR="00CC7D36" w:rsidRPr="00CA4A72" w:rsidRDefault="00CC7D36" w:rsidP="00CC7D36">
            <w:pPr>
              <w:spacing w:line="276" w:lineRule="auto"/>
              <w:rPr>
                <w:rFonts w:asciiTheme="minorHAnsi" w:eastAsia="Times New Roman" w:hAnsiTheme="minorHAnsi" w:cstheme="minorHAnsi"/>
                <w:sz w:val="14"/>
                <w:szCs w:val="14"/>
                <w:lang w:eastAsia="en-GB"/>
              </w:rPr>
            </w:pPr>
            <w:r w:rsidRPr="00CA4A72">
              <w:rPr>
                <w:rFonts w:asciiTheme="minorHAnsi" w:hAnsiTheme="minorHAnsi" w:cstheme="minorHAnsi"/>
                <w:sz w:val="14"/>
                <w:szCs w:val="14"/>
              </w:rPr>
              <w:t>Software Revenue</w:t>
            </w:r>
          </w:p>
        </w:tc>
        <w:tc>
          <w:tcPr>
            <w:tcW w:w="283" w:type="dxa"/>
            <w:noWrap/>
            <w:vAlign w:val="bottom"/>
          </w:tcPr>
          <w:p w14:paraId="03D7AE59" w14:textId="77777777" w:rsidR="00CC7D36" w:rsidRPr="00CA4A72" w:rsidRDefault="00CC7D36" w:rsidP="00CC7D36">
            <w:pPr>
              <w:spacing w:line="276" w:lineRule="auto"/>
              <w:ind w:firstLineChars="100" w:firstLine="140"/>
              <w:rPr>
                <w:rFonts w:asciiTheme="minorHAnsi" w:eastAsia="Times New Roman" w:hAnsiTheme="minorHAnsi" w:cstheme="minorHAnsi"/>
                <w:sz w:val="14"/>
                <w:szCs w:val="14"/>
                <w:lang w:eastAsia="en-GB"/>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04482C8E"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960.5</w:t>
            </w:r>
          </w:p>
        </w:tc>
        <w:tc>
          <w:tcPr>
            <w:tcW w:w="850" w:type="dxa"/>
            <w:tcBorders>
              <w:top w:val="nil"/>
              <w:left w:val="single" w:sz="4" w:space="0" w:color="auto"/>
              <w:bottom w:val="single" w:sz="4" w:space="0" w:color="auto"/>
              <w:right w:val="single" w:sz="4" w:space="0" w:color="auto"/>
            </w:tcBorders>
            <w:shd w:val="clear" w:color="auto" w:fill="auto"/>
            <w:vAlign w:val="center"/>
          </w:tcPr>
          <w:p w14:paraId="5FE1FB1B"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851.0</w:t>
            </w:r>
          </w:p>
        </w:tc>
        <w:tc>
          <w:tcPr>
            <w:tcW w:w="851" w:type="dxa"/>
            <w:tcBorders>
              <w:top w:val="nil"/>
              <w:left w:val="nil"/>
              <w:bottom w:val="single" w:sz="4" w:space="0" w:color="auto"/>
              <w:right w:val="single" w:sz="4" w:space="0" w:color="auto"/>
            </w:tcBorders>
            <w:shd w:val="clear" w:color="auto" w:fill="auto"/>
            <w:vAlign w:val="center"/>
          </w:tcPr>
          <w:p w14:paraId="7B6B2B7F"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13%</w:t>
            </w:r>
          </w:p>
        </w:tc>
        <w:tc>
          <w:tcPr>
            <w:tcW w:w="850" w:type="dxa"/>
            <w:tcBorders>
              <w:top w:val="nil"/>
              <w:left w:val="nil"/>
              <w:bottom w:val="single" w:sz="4" w:space="0" w:color="auto"/>
              <w:right w:val="single" w:sz="4" w:space="0" w:color="auto"/>
            </w:tcBorders>
            <w:shd w:val="clear" w:color="auto" w:fill="auto"/>
            <w:vAlign w:val="center"/>
          </w:tcPr>
          <w:p w14:paraId="5970AE88"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r w:rsidRPr="00702A32">
              <w:rPr>
                <w:rFonts w:asciiTheme="minorHAnsi" w:hAnsiTheme="minorHAnsi" w:cstheme="minorHAnsi"/>
                <w:color w:val="000000"/>
                <w:sz w:val="14"/>
                <w:szCs w:val="14"/>
              </w:rPr>
              <w:t>12%</w:t>
            </w:r>
          </w:p>
        </w:tc>
        <w:tc>
          <w:tcPr>
            <w:tcW w:w="284" w:type="dxa"/>
            <w:noWrap/>
            <w:vAlign w:val="center"/>
          </w:tcPr>
          <w:p w14:paraId="52E479F0"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2226C08F"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1,983.5</w:t>
            </w:r>
          </w:p>
        </w:tc>
        <w:tc>
          <w:tcPr>
            <w:tcW w:w="851" w:type="dxa"/>
            <w:tcBorders>
              <w:top w:val="nil"/>
              <w:left w:val="single" w:sz="4" w:space="0" w:color="auto"/>
              <w:bottom w:val="single" w:sz="4" w:space="0" w:color="auto"/>
              <w:right w:val="single" w:sz="4" w:space="0" w:color="auto"/>
            </w:tcBorders>
            <w:shd w:val="clear" w:color="auto" w:fill="auto"/>
            <w:vAlign w:val="center"/>
          </w:tcPr>
          <w:p w14:paraId="43B5F5A8"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1,710.5</w:t>
            </w:r>
          </w:p>
        </w:tc>
        <w:tc>
          <w:tcPr>
            <w:tcW w:w="850" w:type="dxa"/>
            <w:tcBorders>
              <w:top w:val="nil"/>
              <w:left w:val="nil"/>
              <w:bottom w:val="single" w:sz="4" w:space="0" w:color="auto"/>
              <w:right w:val="single" w:sz="4" w:space="0" w:color="auto"/>
            </w:tcBorders>
            <w:shd w:val="clear" w:color="auto" w:fill="auto"/>
            <w:vAlign w:val="center"/>
          </w:tcPr>
          <w:p w14:paraId="369E015A"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16%</w:t>
            </w:r>
          </w:p>
        </w:tc>
        <w:tc>
          <w:tcPr>
            <w:tcW w:w="851" w:type="dxa"/>
            <w:tcBorders>
              <w:top w:val="nil"/>
              <w:left w:val="nil"/>
              <w:bottom w:val="single" w:sz="4" w:space="0" w:color="auto"/>
              <w:right w:val="single" w:sz="4" w:space="0" w:color="auto"/>
            </w:tcBorders>
            <w:shd w:val="clear" w:color="auto" w:fill="auto"/>
            <w:vAlign w:val="center"/>
          </w:tcPr>
          <w:p w14:paraId="66A6B2EF"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r w:rsidRPr="00702A32">
              <w:rPr>
                <w:rFonts w:asciiTheme="minorHAnsi" w:hAnsiTheme="minorHAnsi" w:cstheme="minorHAnsi"/>
                <w:color w:val="000000"/>
                <w:sz w:val="14"/>
                <w:szCs w:val="14"/>
              </w:rPr>
              <w:t>15%</w:t>
            </w:r>
          </w:p>
        </w:tc>
      </w:tr>
      <w:tr w:rsidR="00CC7D36" w:rsidRPr="00CA4A72" w14:paraId="5FE8DF88" w14:textId="77777777" w:rsidTr="00CC7D36">
        <w:trPr>
          <w:trHeight w:val="227"/>
        </w:trPr>
        <w:tc>
          <w:tcPr>
            <w:tcW w:w="1980" w:type="dxa"/>
            <w:tcBorders>
              <w:top w:val="nil"/>
              <w:left w:val="single" w:sz="4" w:space="0" w:color="auto"/>
              <w:bottom w:val="single" w:sz="4" w:space="0" w:color="auto"/>
              <w:right w:val="single" w:sz="4" w:space="0" w:color="auto"/>
            </w:tcBorders>
            <w:vAlign w:val="center"/>
            <w:hideMark/>
          </w:tcPr>
          <w:p w14:paraId="2F475951" w14:textId="77777777" w:rsidR="00CC7D36" w:rsidRPr="00CA4A72" w:rsidRDefault="00CC7D36" w:rsidP="00CC7D36">
            <w:pPr>
              <w:spacing w:line="276" w:lineRule="auto"/>
              <w:rPr>
                <w:rFonts w:asciiTheme="minorHAnsi" w:eastAsia="Times New Roman" w:hAnsiTheme="minorHAnsi" w:cstheme="minorHAnsi"/>
                <w:sz w:val="14"/>
                <w:szCs w:val="14"/>
                <w:lang w:eastAsia="en-GB"/>
              </w:rPr>
            </w:pPr>
            <w:r w:rsidRPr="00CA4A72">
              <w:rPr>
                <w:rFonts w:asciiTheme="minorHAnsi" w:hAnsiTheme="minorHAnsi" w:cstheme="minorHAnsi"/>
                <w:sz w:val="14"/>
                <w:szCs w:val="14"/>
              </w:rPr>
              <w:t>Operating Margin</w:t>
            </w:r>
          </w:p>
        </w:tc>
        <w:tc>
          <w:tcPr>
            <w:tcW w:w="283" w:type="dxa"/>
            <w:noWrap/>
            <w:vAlign w:val="bottom"/>
          </w:tcPr>
          <w:p w14:paraId="5F3A43A7" w14:textId="77777777" w:rsidR="00CC7D36" w:rsidRPr="00CA4A72" w:rsidRDefault="00CC7D36" w:rsidP="00CC7D36">
            <w:pPr>
              <w:spacing w:line="276" w:lineRule="auto"/>
              <w:ind w:firstLineChars="100" w:firstLine="140"/>
              <w:rPr>
                <w:rFonts w:asciiTheme="minorHAnsi" w:eastAsia="Times New Roman" w:hAnsiTheme="minorHAnsi" w:cstheme="minorHAnsi"/>
                <w:sz w:val="14"/>
                <w:szCs w:val="14"/>
                <w:lang w:eastAsia="en-GB"/>
              </w:rPr>
            </w:pPr>
          </w:p>
        </w:tc>
        <w:tc>
          <w:tcPr>
            <w:tcW w:w="851" w:type="dxa"/>
            <w:tcBorders>
              <w:top w:val="nil"/>
              <w:left w:val="single" w:sz="4" w:space="0" w:color="auto"/>
              <w:bottom w:val="single" w:sz="4" w:space="0" w:color="auto"/>
              <w:right w:val="single" w:sz="4" w:space="0" w:color="auto"/>
            </w:tcBorders>
            <w:shd w:val="clear" w:color="000000" w:fill="FFFFFF"/>
            <w:vAlign w:val="center"/>
          </w:tcPr>
          <w:p w14:paraId="59424598"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26.7%</w:t>
            </w:r>
          </w:p>
        </w:tc>
        <w:tc>
          <w:tcPr>
            <w:tcW w:w="850" w:type="dxa"/>
            <w:tcBorders>
              <w:top w:val="nil"/>
              <w:left w:val="single" w:sz="4" w:space="0" w:color="auto"/>
              <w:bottom w:val="single" w:sz="4" w:space="0" w:color="auto"/>
              <w:right w:val="single" w:sz="4" w:space="0" w:color="auto"/>
            </w:tcBorders>
            <w:shd w:val="clear" w:color="auto" w:fill="auto"/>
            <w:vAlign w:val="center"/>
          </w:tcPr>
          <w:p w14:paraId="5E74AF95"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30.7%</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3D80DF64"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(3.9)pts</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1406C743" w14:textId="77777777" w:rsidR="00CC7D36" w:rsidRPr="00702A32" w:rsidRDefault="00CC7D36" w:rsidP="00CC7D36">
            <w:pPr>
              <w:spacing w:line="276" w:lineRule="auto"/>
              <w:jc w:val="center"/>
              <w:rPr>
                <w:rFonts w:asciiTheme="minorHAnsi" w:eastAsia="Times New Roman" w:hAnsiTheme="minorHAnsi" w:cstheme="minorHAnsi"/>
                <w:b/>
                <w:bCs/>
                <w:color w:val="005386"/>
                <w:sz w:val="14"/>
                <w:szCs w:val="14"/>
                <w:lang w:eastAsia="en-GB"/>
              </w:rPr>
            </w:pPr>
          </w:p>
        </w:tc>
        <w:tc>
          <w:tcPr>
            <w:tcW w:w="284" w:type="dxa"/>
            <w:noWrap/>
            <w:vAlign w:val="center"/>
          </w:tcPr>
          <w:p w14:paraId="63171733" w14:textId="77777777" w:rsidR="00CC7D36" w:rsidRPr="00702A32" w:rsidRDefault="00CC7D36" w:rsidP="00CC7D36">
            <w:pPr>
              <w:spacing w:line="276" w:lineRule="auto"/>
              <w:jc w:val="center"/>
              <w:rPr>
                <w:rFonts w:asciiTheme="minorHAnsi" w:eastAsia="Times New Roman" w:hAnsiTheme="minorHAnsi" w:cstheme="minorHAnsi"/>
                <w:b/>
                <w:bCs/>
                <w:color w:val="005386"/>
                <w:sz w:val="14"/>
                <w:szCs w:val="14"/>
                <w:lang w:eastAsia="en-GB"/>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07E1F2C5"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28.0%</w:t>
            </w:r>
          </w:p>
        </w:tc>
        <w:tc>
          <w:tcPr>
            <w:tcW w:w="851" w:type="dxa"/>
            <w:tcBorders>
              <w:top w:val="nil"/>
              <w:left w:val="single" w:sz="4" w:space="0" w:color="auto"/>
              <w:bottom w:val="single" w:sz="4" w:space="0" w:color="auto"/>
              <w:right w:val="single" w:sz="4" w:space="0" w:color="auto"/>
            </w:tcBorders>
            <w:shd w:val="clear" w:color="auto" w:fill="auto"/>
            <w:vAlign w:val="center"/>
          </w:tcPr>
          <w:p w14:paraId="022B30FC"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31.8%</w:t>
            </w:r>
          </w:p>
        </w:tc>
        <w:tc>
          <w:tcPr>
            <w:tcW w:w="850" w:type="dxa"/>
            <w:tcBorders>
              <w:top w:val="nil"/>
              <w:left w:val="nil"/>
              <w:bottom w:val="single" w:sz="4" w:space="0" w:color="auto"/>
              <w:right w:val="single" w:sz="4" w:space="0" w:color="auto"/>
            </w:tcBorders>
            <w:shd w:val="clear" w:color="000000" w:fill="FFFFFF"/>
            <w:vAlign w:val="center"/>
          </w:tcPr>
          <w:p w14:paraId="4E02D69D"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(3.7)pts</w:t>
            </w:r>
          </w:p>
        </w:tc>
        <w:tc>
          <w:tcPr>
            <w:tcW w:w="851" w:type="dxa"/>
            <w:tcBorders>
              <w:top w:val="nil"/>
              <w:left w:val="nil"/>
              <w:bottom w:val="single" w:sz="4" w:space="0" w:color="auto"/>
              <w:right w:val="single" w:sz="4" w:space="0" w:color="auto"/>
            </w:tcBorders>
            <w:shd w:val="clear" w:color="auto" w:fill="auto"/>
            <w:vAlign w:val="center"/>
          </w:tcPr>
          <w:p w14:paraId="5DF01F2D"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p>
        </w:tc>
      </w:tr>
      <w:tr w:rsidR="00CC7D36" w:rsidRPr="00CA4A72" w14:paraId="4A4B9833" w14:textId="77777777" w:rsidTr="00CC7D36">
        <w:trPr>
          <w:trHeight w:val="227"/>
        </w:trPr>
        <w:tc>
          <w:tcPr>
            <w:tcW w:w="1980" w:type="dxa"/>
            <w:tcBorders>
              <w:top w:val="nil"/>
              <w:left w:val="single" w:sz="4" w:space="0" w:color="auto"/>
              <w:bottom w:val="single" w:sz="4" w:space="0" w:color="auto"/>
              <w:right w:val="single" w:sz="4" w:space="0" w:color="auto"/>
            </w:tcBorders>
            <w:vAlign w:val="center"/>
            <w:hideMark/>
          </w:tcPr>
          <w:p w14:paraId="03D44A9D" w14:textId="77777777" w:rsidR="00CC7D36" w:rsidRPr="00CA4A72" w:rsidRDefault="00CC7D36" w:rsidP="00CC7D36">
            <w:pPr>
              <w:spacing w:line="276" w:lineRule="auto"/>
              <w:rPr>
                <w:rFonts w:asciiTheme="minorHAnsi" w:eastAsia="Times New Roman" w:hAnsiTheme="minorHAnsi" w:cstheme="minorHAnsi"/>
                <w:sz w:val="14"/>
                <w:szCs w:val="14"/>
                <w:lang w:eastAsia="en-GB"/>
              </w:rPr>
            </w:pPr>
            <w:r w:rsidRPr="00CA4A72">
              <w:rPr>
                <w:rFonts w:asciiTheme="minorHAnsi" w:hAnsiTheme="minorHAnsi" w:cstheme="minorHAnsi"/>
                <w:sz w:val="14"/>
                <w:szCs w:val="14"/>
              </w:rPr>
              <w:t>EPS</w:t>
            </w:r>
          </w:p>
        </w:tc>
        <w:tc>
          <w:tcPr>
            <w:tcW w:w="283" w:type="dxa"/>
            <w:noWrap/>
            <w:vAlign w:val="bottom"/>
          </w:tcPr>
          <w:p w14:paraId="023F1339" w14:textId="77777777" w:rsidR="00CC7D36" w:rsidRPr="00CA4A72" w:rsidRDefault="00CC7D36" w:rsidP="00CC7D36">
            <w:pPr>
              <w:spacing w:line="276" w:lineRule="auto"/>
              <w:ind w:firstLineChars="100" w:firstLine="140"/>
              <w:rPr>
                <w:rFonts w:asciiTheme="minorHAnsi" w:eastAsia="Times New Roman" w:hAnsiTheme="minorHAnsi" w:cstheme="minorHAnsi"/>
                <w:sz w:val="14"/>
                <w:szCs w:val="14"/>
                <w:lang w:eastAsia="en-GB"/>
              </w:rPr>
            </w:pPr>
          </w:p>
        </w:tc>
        <w:tc>
          <w:tcPr>
            <w:tcW w:w="851" w:type="dxa"/>
            <w:tcBorders>
              <w:top w:val="nil"/>
              <w:left w:val="single" w:sz="4" w:space="0" w:color="auto"/>
              <w:bottom w:val="single" w:sz="4" w:space="0" w:color="auto"/>
              <w:right w:val="single" w:sz="4" w:space="0" w:color="auto"/>
            </w:tcBorders>
            <w:shd w:val="clear" w:color="000000" w:fill="FFFFFF"/>
            <w:vAlign w:val="center"/>
          </w:tcPr>
          <w:p w14:paraId="48D12F4C" w14:textId="77777777" w:rsidR="00CC7D36" w:rsidRPr="004255A5" w:rsidRDefault="00CC7D36" w:rsidP="00CC7D36">
            <w:pPr>
              <w:spacing w:line="276" w:lineRule="auto"/>
              <w:jc w:val="center"/>
              <w:rPr>
                <w:rFonts w:asciiTheme="minorHAnsi" w:eastAsia="Times New Roman" w:hAnsiTheme="minorHAnsi" w:cstheme="minorHAnsi"/>
                <w:sz w:val="14"/>
                <w:szCs w:val="14"/>
                <w:lang w:eastAsia="en-GB"/>
              </w:rPr>
            </w:pPr>
            <w:r w:rsidRPr="004255A5">
              <w:rPr>
                <w:rFonts w:asciiTheme="minorHAnsi" w:hAnsiTheme="minorHAnsi" w:cstheme="minorHAnsi"/>
                <w:color w:val="000000"/>
                <w:sz w:val="14"/>
                <w:szCs w:val="14"/>
              </w:rPr>
              <w:t>0.80</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1C105C4B" w14:textId="77777777" w:rsidR="00CC7D36" w:rsidRPr="004255A5" w:rsidRDefault="00CC7D36" w:rsidP="00CC7D36">
            <w:pPr>
              <w:spacing w:line="276" w:lineRule="auto"/>
              <w:jc w:val="center"/>
              <w:rPr>
                <w:rFonts w:asciiTheme="minorHAnsi" w:eastAsia="Times New Roman" w:hAnsiTheme="minorHAnsi" w:cstheme="minorHAnsi"/>
                <w:sz w:val="14"/>
                <w:szCs w:val="14"/>
                <w:lang w:eastAsia="en-GB"/>
              </w:rPr>
            </w:pPr>
            <w:r w:rsidRPr="004255A5">
              <w:rPr>
                <w:rFonts w:asciiTheme="minorHAnsi" w:hAnsiTheme="minorHAnsi" w:cstheme="minorHAnsi"/>
                <w:sz w:val="14"/>
                <w:szCs w:val="14"/>
              </w:rPr>
              <w:t>0.82</w:t>
            </w:r>
          </w:p>
        </w:tc>
        <w:tc>
          <w:tcPr>
            <w:tcW w:w="851" w:type="dxa"/>
            <w:tcBorders>
              <w:top w:val="nil"/>
              <w:left w:val="nil"/>
              <w:bottom w:val="single" w:sz="4" w:space="0" w:color="auto"/>
              <w:right w:val="single" w:sz="4" w:space="0" w:color="auto"/>
            </w:tcBorders>
            <w:shd w:val="clear" w:color="auto" w:fill="auto"/>
            <w:vAlign w:val="center"/>
          </w:tcPr>
          <w:p w14:paraId="3AB16005" w14:textId="77777777" w:rsidR="00CC7D36" w:rsidRPr="004255A5" w:rsidRDefault="00CC7D36" w:rsidP="00CC7D36">
            <w:pPr>
              <w:spacing w:line="276" w:lineRule="auto"/>
              <w:jc w:val="center"/>
              <w:rPr>
                <w:rFonts w:asciiTheme="minorHAnsi" w:eastAsia="Times New Roman" w:hAnsiTheme="minorHAnsi" w:cstheme="minorHAnsi"/>
                <w:sz w:val="14"/>
                <w:szCs w:val="14"/>
                <w:lang w:eastAsia="en-GB"/>
              </w:rPr>
            </w:pPr>
            <w:r w:rsidRPr="004255A5">
              <w:rPr>
                <w:rFonts w:asciiTheme="minorHAnsi" w:hAnsiTheme="minorHAnsi" w:cstheme="minorHAnsi"/>
                <w:color w:val="000000"/>
                <w:sz w:val="14"/>
                <w:szCs w:val="14"/>
              </w:rPr>
              <w:t>(2)%</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41BD7130" w14:textId="77777777" w:rsidR="00CC7D36" w:rsidRPr="004255A5" w:rsidRDefault="00CC7D36" w:rsidP="00CC7D36">
            <w:pPr>
              <w:spacing w:line="276" w:lineRule="auto"/>
              <w:jc w:val="center"/>
              <w:rPr>
                <w:rFonts w:asciiTheme="minorHAnsi" w:eastAsia="Times New Roman" w:hAnsiTheme="minorHAnsi" w:cstheme="minorHAnsi"/>
                <w:color w:val="000000"/>
                <w:sz w:val="14"/>
                <w:szCs w:val="14"/>
                <w:lang w:eastAsia="en-GB"/>
              </w:rPr>
            </w:pPr>
            <w:r w:rsidRPr="004255A5">
              <w:rPr>
                <w:rFonts w:asciiTheme="minorHAnsi" w:hAnsiTheme="minorHAnsi" w:cstheme="minorHAnsi"/>
                <w:color w:val="000000"/>
                <w:sz w:val="14"/>
                <w:szCs w:val="14"/>
              </w:rPr>
              <w:t>(3)%</w:t>
            </w:r>
          </w:p>
        </w:tc>
        <w:tc>
          <w:tcPr>
            <w:tcW w:w="284" w:type="dxa"/>
            <w:noWrap/>
            <w:vAlign w:val="center"/>
          </w:tcPr>
          <w:p w14:paraId="1BAC2252" w14:textId="77777777" w:rsidR="00CC7D36" w:rsidRPr="004255A5" w:rsidRDefault="00CC7D36" w:rsidP="00CC7D36">
            <w:pPr>
              <w:spacing w:line="276" w:lineRule="auto"/>
              <w:jc w:val="center"/>
              <w:rPr>
                <w:rFonts w:asciiTheme="minorHAnsi" w:eastAsia="Times New Roman" w:hAnsiTheme="minorHAnsi" w:cstheme="minorHAnsi"/>
                <w:color w:val="000000"/>
                <w:sz w:val="14"/>
                <w:szCs w:val="14"/>
                <w:lang w:eastAsia="en-GB"/>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35AD5C23" w14:textId="77777777" w:rsidR="00CC7D36" w:rsidRPr="004255A5" w:rsidRDefault="00CC7D36" w:rsidP="00CC7D36">
            <w:pPr>
              <w:spacing w:line="276" w:lineRule="auto"/>
              <w:jc w:val="center"/>
              <w:rPr>
                <w:rFonts w:asciiTheme="minorHAnsi" w:eastAsia="Times New Roman" w:hAnsiTheme="minorHAnsi" w:cstheme="minorHAnsi"/>
                <w:sz w:val="14"/>
                <w:szCs w:val="14"/>
                <w:lang w:eastAsia="en-GB"/>
              </w:rPr>
            </w:pPr>
            <w:r w:rsidRPr="004255A5">
              <w:rPr>
                <w:rFonts w:asciiTheme="minorHAnsi" w:hAnsiTheme="minorHAnsi" w:cstheme="minorHAnsi"/>
                <w:color w:val="000000"/>
                <w:sz w:val="14"/>
                <w:szCs w:val="14"/>
              </w:rPr>
              <w:t>1.76</w:t>
            </w:r>
          </w:p>
        </w:tc>
        <w:tc>
          <w:tcPr>
            <w:tcW w:w="851" w:type="dxa"/>
            <w:tcBorders>
              <w:top w:val="nil"/>
              <w:left w:val="single" w:sz="4" w:space="0" w:color="auto"/>
              <w:bottom w:val="single" w:sz="4" w:space="0" w:color="auto"/>
              <w:right w:val="single" w:sz="4" w:space="0" w:color="auto"/>
            </w:tcBorders>
            <w:shd w:val="clear" w:color="auto" w:fill="auto"/>
            <w:vAlign w:val="center"/>
          </w:tcPr>
          <w:p w14:paraId="56B474F8" w14:textId="77777777" w:rsidR="00CC7D36" w:rsidRPr="004255A5" w:rsidRDefault="00CC7D36" w:rsidP="00CC7D36">
            <w:pPr>
              <w:spacing w:line="276" w:lineRule="auto"/>
              <w:jc w:val="center"/>
              <w:rPr>
                <w:rFonts w:asciiTheme="minorHAnsi" w:eastAsia="Times New Roman" w:hAnsiTheme="minorHAnsi" w:cstheme="minorHAnsi"/>
                <w:sz w:val="14"/>
                <w:szCs w:val="14"/>
                <w:lang w:eastAsia="en-GB"/>
              </w:rPr>
            </w:pPr>
            <w:r w:rsidRPr="004255A5">
              <w:rPr>
                <w:rFonts w:asciiTheme="minorHAnsi" w:hAnsiTheme="minorHAnsi" w:cstheme="minorHAnsi"/>
                <w:sz w:val="14"/>
                <w:szCs w:val="14"/>
              </w:rPr>
              <w:t>1.69</w:t>
            </w:r>
          </w:p>
        </w:tc>
        <w:tc>
          <w:tcPr>
            <w:tcW w:w="850" w:type="dxa"/>
            <w:tcBorders>
              <w:top w:val="nil"/>
              <w:left w:val="nil"/>
              <w:bottom w:val="single" w:sz="4" w:space="0" w:color="auto"/>
              <w:right w:val="single" w:sz="4" w:space="0" w:color="auto"/>
            </w:tcBorders>
            <w:shd w:val="clear" w:color="auto" w:fill="auto"/>
            <w:vAlign w:val="center"/>
          </w:tcPr>
          <w:p w14:paraId="63F82828" w14:textId="77777777" w:rsidR="00CC7D36" w:rsidRPr="004255A5" w:rsidRDefault="00CC7D36" w:rsidP="00CC7D36">
            <w:pPr>
              <w:spacing w:line="276" w:lineRule="auto"/>
              <w:jc w:val="center"/>
              <w:rPr>
                <w:rFonts w:asciiTheme="minorHAnsi" w:eastAsia="Times New Roman" w:hAnsiTheme="minorHAnsi" w:cstheme="minorHAnsi"/>
                <w:sz w:val="14"/>
                <w:szCs w:val="14"/>
                <w:lang w:eastAsia="en-GB"/>
              </w:rPr>
            </w:pPr>
            <w:r w:rsidRPr="004255A5">
              <w:rPr>
                <w:rFonts w:asciiTheme="minorHAnsi" w:hAnsiTheme="minorHAnsi" w:cstheme="minorHAnsi"/>
                <w:color w:val="000000"/>
                <w:sz w:val="14"/>
                <w:szCs w:val="14"/>
              </w:rPr>
              <w:t>4%</w:t>
            </w:r>
          </w:p>
        </w:tc>
        <w:tc>
          <w:tcPr>
            <w:tcW w:w="851" w:type="dxa"/>
            <w:tcBorders>
              <w:top w:val="nil"/>
              <w:left w:val="nil"/>
              <w:bottom w:val="single" w:sz="4" w:space="0" w:color="auto"/>
              <w:right w:val="single" w:sz="4" w:space="0" w:color="auto"/>
            </w:tcBorders>
            <w:shd w:val="clear" w:color="auto" w:fill="auto"/>
            <w:vAlign w:val="center"/>
          </w:tcPr>
          <w:p w14:paraId="42296D1C" w14:textId="77777777" w:rsidR="00CC7D36" w:rsidRPr="004255A5" w:rsidRDefault="00CC7D36" w:rsidP="00CC7D36">
            <w:pPr>
              <w:spacing w:line="276" w:lineRule="auto"/>
              <w:jc w:val="center"/>
              <w:rPr>
                <w:rFonts w:asciiTheme="minorHAnsi" w:eastAsia="Times New Roman" w:hAnsiTheme="minorHAnsi" w:cstheme="minorHAnsi"/>
                <w:sz w:val="14"/>
                <w:szCs w:val="14"/>
                <w:lang w:eastAsia="en-GB"/>
              </w:rPr>
            </w:pPr>
            <w:r w:rsidRPr="004255A5">
              <w:rPr>
                <w:rFonts w:asciiTheme="minorHAnsi" w:hAnsiTheme="minorHAnsi" w:cstheme="minorHAnsi"/>
                <w:color w:val="000000"/>
                <w:sz w:val="14"/>
                <w:szCs w:val="14"/>
              </w:rPr>
              <w:t>2%</w:t>
            </w:r>
          </w:p>
        </w:tc>
      </w:tr>
    </w:tbl>
    <w:p w14:paraId="4A35CC44" w14:textId="6F9719D8" w:rsidR="002C1763" w:rsidRPr="002C1763" w:rsidRDefault="002C1763" w:rsidP="002C1763">
      <w:pPr>
        <w:pStyle w:val="ListParagraph"/>
        <w:spacing w:after="120"/>
        <w:jc w:val="both"/>
        <w:rPr>
          <w:rFonts w:eastAsia="Times New Roman" w:cstheme="minorHAnsi"/>
          <w:sz w:val="16"/>
          <w:szCs w:val="16"/>
          <w:lang w:eastAsia="fr-FR"/>
        </w:rPr>
      </w:pPr>
    </w:p>
    <w:p w14:paraId="64B9DA44" w14:textId="77777777" w:rsidR="00357F6B" w:rsidRPr="00DF4742" w:rsidRDefault="00357F6B" w:rsidP="00DF4742">
      <w:pPr>
        <w:jc w:val="both"/>
        <w:rPr>
          <w:rFonts w:asciiTheme="minorHAnsi" w:hAnsiTheme="minorHAnsi" w:cstheme="minorHAnsi"/>
          <w:sz w:val="24"/>
          <w:szCs w:val="24"/>
        </w:rPr>
      </w:pPr>
    </w:p>
    <w:p w14:paraId="60EC7823" w14:textId="77777777" w:rsidR="005A1623" w:rsidRDefault="005A1623">
      <w:pPr>
        <w:spacing w:after="200" w:line="276" w:lineRule="auto"/>
        <w:rPr>
          <w:rFonts w:asciiTheme="minorHAnsi" w:hAnsiTheme="minorHAnsi" w:cstheme="minorHAnsi"/>
          <w:b/>
          <w:i/>
          <w:color w:val="000000"/>
        </w:rPr>
      </w:pPr>
      <w:r>
        <w:rPr>
          <w:rFonts w:asciiTheme="minorHAnsi" w:hAnsiTheme="minorHAnsi" w:cstheme="minorHAnsi"/>
          <w:b/>
          <w:i/>
        </w:rPr>
        <w:br w:type="page"/>
      </w:r>
    </w:p>
    <w:p w14:paraId="5D66AAD9" w14:textId="3E99EF3B" w:rsidR="0007043B" w:rsidRDefault="00DF4742" w:rsidP="0007043B">
      <w:pPr>
        <w:pStyle w:val="Default"/>
        <w:jc w:val="both"/>
        <w:rPr>
          <w:rFonts w:ascii="Calibri" w:hAnsi="Calibri" w:cs="Calibri"/>
          <w:i/>
          <w:iCs/>
          <w:sz w:val="22"/>
          <w:szCs w:val="22"/>
        </w:rPr>
      </w:pPr>
      <w:r w:rsidRPr="009B60E3">
        <w:rPr>
          <w:rFonts w:asciiTheme="minorHAnsi" w:hAnsiTheme="minorHAnsi" w:cstheme="minorHAnsi"/>
          <w:b/>
          <w:i/>
          <w:sz w:val="22"/>
          <w:szCs w:val="22"/>
        </w:rPr>
        <w:lastRenderedPageBreak/>
        <w:t xml:space="preserve">Bernard </w:t>
      </w:r>
      <w:proofErr w:type="spellStart"/>
      <w:r w:rsidRPr="009B60E3">
        <w:rPr>
          <w:rFonts w:asciiTheme="minorHAnsi" w:hAnsiTheme="minorHAnsi" w:cstheme="minorHAnsi"/>
          <w:b/>
          <w:i/>
          <w:sz w:val="22"/>
          <w:szCs w:val="22"/>
        </w:rPr>
        <w:t>Charlès</w:t>
      </w:r>
      <w:proofErr w:type="spellEnd"/>
      <w:r w:rsidRPr="009B60E3">
        <w:rPr>
          <w:rFonts w:asciiTheme="minorHAnsi" w:hAnsiTheme="minorHAnsi" w:cstheme="minorHAnsi"/>
          <w:b/>
          <w:i/>
          <w:sz w:val="22"/>
          <w:szCs w:val="22"/>
        </w:rPr>
        <w:t>, Dassault Systèmes’ Vice Chairman and Chief Executive Officer commented</w:t>
      </w:r>
      <w:r w:rsidR="00990EC0" w:rsidRPr="009B60E3">
        <w:rPr>
          <w:rFonts w:asciiTheme="minorHAnsi" w:hAnsiTheme="minorHAnsi" w:cstheme="minorHAnsi"/>
          <w:i/>
          <w:sz w:val="22"/>
          <w:szCs w:val="22"/>
        </w:rPr>
        <w:t>,</w:t>
      </w:r>
      <w:r w:rsidR="00DD0186">
        <w:rPr>
          <w:rFonts w:asciiTheme="minorHAnsi" w:hAnsiTheme="minorHAnsi" w:cstheme="minorHAnsi"/>
          <w:i/>
          <w:sz w:val="22"/>
          <w:szCs w:val="22"/>
        </w:rPr>
        <w:t xml:space="preserve"> </w:t>
      </w:r>
      <w:r w:rsidR="0007043B" w:rsidRPr="002B35E9">
        <w:rPr>
          <w:rFonts w:asciiTheme="minorHAnsi" w:hAnsiTheme="minorHAnsi" w:cstheme="minorHAnsi"/>
          <w:i/>
          <w:sz w:val="22"/>
          <w:szCs w:val="22"/>
        </w:rPr>
        <w:t>“</w:t>
      </w:r>
      <w:r w:rsidR="0007043B">
        <w:rPr>
          <w:rFonts w:asciiTheme="minorHAnsi" w:hAnsiTheme="minorHAnsi" w:cstheme="minorHAnsi"/>
          <w:i/>
          <w:sz w:val="22"/>
          <w:szCs w:val="22"/>
        </w:rPr>
        <w:t>The</w:t>
      </w:r>
      <w:r w:rsidR="0007043B">
        <w:rPr>
          <w:rFonts w:ascii="Calibri" w:hAnsi="Calibri" w:cs="Calibri"/>
          <w:i/>
          <w:iCs/>
          <w:sz w:val="22"/>
          <w:szCs w:val="22"/>
        </w:rPr>
        <w:t xml:space="preserve"> health crisis will have a lasting impact on the way of doing business and on the needs of companies and their end-clients. This is clear from extensive discussions we have had with clients across Manufacturing Industries, Life Sciences &amp; Healthcare and Infrastructure and Cities.  We are working with them to turn this health crisis into an opportunity to improve their near-term operations while strengthening the sustainability of their business models.</w:t>
      </w:r>
    </w:p>
    <w:p w14:paraId="2FED9FFA" w14:textId="30CB4040" w:rsidR="0030190F" w:rsidRDefault="0030190F" w:rsidP="006E02A7">
      <w:pPr>
        <w:pStyle w:val="Default"/>
        <w:jc w:val="both"/>
        <w:rPr>
          <w:rFonts w:asciiTheme="minorHAnsi" w:hAnsiTheme="minorHAnsi" w:cstheme="minorHAnsi"/>
          <w:i/>
          <w:sz w:val="22"/>
          <w:szCs w:val="22"/>
        </w:rPr>
      </w:pPr>
    </w:p>
    <w:p w14:paraId="0655D6F6" w14:textId="18E6A0BA" w:rsidR="0030190F" w:rsidRDefault="00AF5F94" w:rsidP="006E02A7">
      <w:pPr>
        <w:pStyle w:val="Default"/>
        <w:jc w:val="both"/>
        <w:rPr>
          <w:rFonts w:asciiTheme="minorHAnsi" w:hAnsiTheme="minorHAnsi" w:cstheme="minorHAnsi"/>
          <w:i/>
          <w:sz w:val="22"/>
          <w:szCs w:val="22"/>
        </w:rPr>
      </w:pPr>
      <w:r>
        <w:rPr>
          <w:rFonts w:ascii="Calibri" w:hAnsi="Calibri" w:cs="Calibri"/>
          <w:i/>
          <w:iCs/>
          <w:sz w:val="22"/>
          <w:szCs w:val="22"/>
        </w:rPr>
        <w:t xml:space="preserve">“The </w:t>
      </w:r>
      <w:r w:rsidR="006A1632">
        <w:rPr>
          <w:rFonts w:ascii="Calibri" w:hAnsi="Calibri" w:cs="Calibri"/>
          <w:i/>
          <w:iCs/>
          <w:sz w:val="22"/>
          <w:szCs w:val="22"/>
        </w:rPr>
        <w:t xml:space="preserve">lockdown </w:t>
      </w:r>
      <w:r>
        <w:rPr>
          <w:rFonts w:ascii="Calibri" w:hAnsi="Calibri" w:cs="Calibri"/>
          <w:i/>
          <w:iCs/>
          <w:sz w:val="22"/>
          <w:szCs w:val="22"/>
        </w:rPr>
        <w:t xml:space="preserve">period </w:t>
      </w:r>
      <w:r w:rsidR="00C927C1">
        <w:rPr>
          <w:rFonts w:ascii="Calibri" w:hAnsi="Calibri" w:cs="Calibri"/>
          <w:i/>
          <w:iCs/>
          <w:sz w:val="22"/>
          <w:szCs w:val="22"/>
        </w:rPr>
        <w:t xml:space="preserve">has </w:t>
      </w:r>
      <w:r>
        <w:rPr>
          <w:rFonts w:ascii="Calibri" w:hAnsi="Calibri" w:cs="Calibri"/>
          <w:i/>
          <w:iCs/>
          <w:sz w:val="22"/>
          <w:szCs w:val="22"/>
        </w:rPr>
        <w:t xml:space="preserve">accelerated the </w:t>
      </w:r>
      <w:r w:rsidR="006A1632">
        <w:rPr>
          <w:rFonts w:ascii="Calibri" w:hAnsi="Calibri" w:cs="Calibri"/>
          <w:i/>
          <w:iCs/>
          <w:sz w:val="22"/>
          <w:szCs w:val="22"/>
        </w:rPr>
        <w:t>need</w:t>
      </w:r>
      <w:r>
        <w:rPr>
          <w:rFonts w:ascii="Calibri" w:hAnsi="Calibri" w:cs="Calibri"/>
          <w:i/>
          <w:iCs/>
          <w:sz w:val="22"/>
          <w:szCs w:val="22"/>
        </w:rPr>
        <w:t xml:space="preserve"> </w:t>
      </w:r>
      <w:r w:rsidR="006A1632">
        <w:rPr>
          <w:rFonts w:ascii="Calibri" w:hAnsi="Calibri" w:cs="Calibri"/>
          <w:i/>
          <w:iCs/>
          <w:sz w:val="22"/>
          <w:szCs w:val="22"/>
        </w:rPr>
        <w:t>for</w:t>
      </w:r>
      <w:r>
        <w:rPr>
          <w:rFonts w:ascii="Calibri" w:hAnsi="Calibri" w:cs="Calibri"/>
          <w:i/>
          <w:iCs/>
          <w:sz w:val="22"/>
          <w:szCs w:val="22"/>
        </w:rPr>
        <w:t xml:space="preserve"> our platform-based design anywhere, virtual production organization adoption, putting people care at the center of all</w:t>
      </w:r>
      <w:r w:rsidR="00671F0F">
        <w:rPr>
          <w:rFonts w:ascii="Calibri" w:hAnsi="Calibri" w:cs="Calibri"/>
          <w:i/>
          <w:iCs/>
          <w:sz w:val="22"/>
          <w:szCs w:val="22"/>
        </w:rPr>
        <w:t>.</w:t>
      </w:r>
      <w:r>
        <w:rPr>
          <w:rFonts w:ascii="Calibri" w:hAnsi="Calibri" w:cs="Calibri"/>
          <w:i/>
          <w:iCs/>
          <w:sz w:val="22"/>
          <w:szCs w:val="22"/>
        </w:rPr>
        <w:t xml:space="preserve"> </w:t>
      </w:r>
      <w:r w:rsidR="00671F0F">
        <w:rPr>
          <w:rFonts w:ascii="Calibri" w:hAnsi="Calibri" w:cs="Calibri"/>
          <w:i/>
          <w:iCs/>
          <w:sz w:val="22"/>
          <w:szCs w:val="22"/>
        </w:rPr>
        <w:t>T</w:t>
      </w:r>
      <w:r>
        <w:rPr>
          <w:rFonts w:ascii="Calibri" w:hAnsi="Calibri" w:cs="Calibri"/>
          <w:i/>
          <w:iCs/>
          <w:sz w:val="22"/>
          <w:szCs w:val="22"/>
        </w:rPr>
        <w:t>hus</w:t>
      </w:r>
      <w:r w:rsidR="00671F0F">
        <w:rPr>
          <w:rFonts w:ascii="Calibri" w:hAnsi="Calibri" w:cs="Calibri"/>
          <w:i/>
          <w:iCs/>
          <w:sz w:val="22"/>
          <w:szCs w:val="22"/>
        </w:rPr>
        <w:t>,</w:t>
      </w:r>
      <w:r>
        <w:rPr>
          <w:rFonts w:ascii="Calibri" w:hAnsi="Calibri" w:cs="Calibri"/>
          <w:i/>
          <w:iCs/>
          <w:sz w:val="22"/>
          <w:szCs w:val="22"/>
        </w:rPr>
        <w:t xml:space="preserve"> </w:t>
      </w:r>
      <w:r w:rsidR="00671F0F">
        <w:rPr>
          <w:rFonts w:ascii="Calibri" w:hAnsi="Calibri" w:cs="Calibri"/>
          <w:i/>
          <w:iCs/>
          <w:sz w:val="22"/>
          <w:szCs w:val="22"/>
        </w:rPr>
        <w:t>never</w:t>
      </w:r>
      <w:r>
        <w:rPr>
          <w:rFonts w:ascii="Calibri" w:hAnsi="Calibri" w:cs="Calibri"/>
          <w:i/>
          <w:iCs/>
          <w:sz w:val="22"/>
          <w:szCs w:val="22"/>
        </w:rPr>
        <w:t xml:space="preserve"> </w:t>
      </w:r>
      <w:r w:rsidR="0089700C">
        <w:rPr>
          <w:rFonts w:ascii="Calibri" w:hAnsi="Calibri" w:cs="Calibri"/>
          <w:i/>
          <w:iCs/>
          <w:sz w:val="22"/>
          <w:szCs w:val="22"/>
        </w:rPr>
        <w:t xml:space="preserve">has </w:t>
      </w:r>
      <w:r w:rsidR="00B61C04">
        <w:rPr>
          <w:rFonts w:ascii="Calibri" w:hAnsi="Calibri" w:cs="Calibri"/>
          <w:i/>
          <w:iCs/>
          <w:sz w:val="22"/>
          <w:szCs w:val="22"/>
        </w:rPr>
        <w:t>the</w:t>
      </w:r>
      <w:r>
        <w:rPr>
          <w:rFonts w:ascii="Calibri" w:hAnsi="Calibri" w:cs="Calibri"/>
          <w:i/>
          <w:iCs/>
          <w:sz w:val="22"/>
          <w:szCs w:val="22"/>
        </w:rPr>
        <w:t xml:space="preserve"> Virtual twin experience </w:t>
      </w:r>
      <w:r w:rsidR="00C927C1">
        <w:rPr>
          <w:rFonts w:ascii="Calibri" w:hAnsi="Calibri" w:cs="Calibri"/>
          <w:i/>
          <w:iCs/>
          <w:sz w:val="22"/>
          <w:szCs w:val="22"/>
        </w:rPr>
        <w:t>been more relevant</w:t>
      </w:r>
      <w:r>
        <w:rPr>
          <w:rFonts w:ascii="Calibri" w:hAnsi="Calibri" w:cs="Calibri"/>
          <w:i/>
          <w:iCs/>
          <w:sz w:val="22"/>
          <w:szCs w:val="22"/>
        </w:rPr>
        <w:t>.</w:t>
      </w:r>
      <w:r w:rsidR="005067A4">
        <w:rPr>
          <w:rFonts w:ascii="Calibri" w:hAnsi="Calibri" w:cs="Calibri"/>
          <w:i/>
          <w:iCs/>
          <w:sz w:val="22"/>
          <w:szCs w:val="22"/>
        </w:rPr>
        <w:t xml:space="preserve"> </w:t>
      </w:r>
      <w:r w:rsidR="0030190F">
        <w:rPr>
          <w:rFonts w:asciiTheme="minorHAnsi" w:hAnsiTheme="minorHAnsi" w:cstheme="minorHAnsi"/>
          <w:i/>
          <w:sz w:val="22"/>
          <w:szCs w:val="22"/>
        </w:rPr>
        <w:t xml:space="preserve">We </w:t>
      </w:r>
      <w:proofErr w:type="gramStart"/>
      <w:r w:rsidR="0030190F">
        <w:rPr>
          <w:rFonts w:asciiTheme="minorHAnsi" w:hAnsiTheme="minorHAnsi" w:cstheme="minorHAnsi"/>
          <w:i/>
          <w:sz w:val="22"/>
          <w:szCs w:val="22"/>
        </w:rPr>
        <w:t>are well positioned</w:t>
      </w:r>
      <w:proofErr w:type="gramEnd"/>
      <w:r w:rsidR="0030190F">
        <w:rPr>
          <w:rFonts w:asciiTheme="minorHAnsi" w:hAnsiTheme="minorHAnsi" w:cstheme="minorHAnsi"/>
          <w:i/>
          <w:sz w:val="22"/>
          <w:szCs w:val="22"/>
        </w:rPr>
        <w:t xml:space="preserve"> to help </w:t>
      </w:r>
      <w:r w:rsidR="00FB3EAA">
        <w:rPr>
          <w:rFonts w:asciiTheme="minorHAnsi" w:hAnsiTheme="minorHAnsi" w:cstheme="minorHAnsi"/>
          <w:i/>
          <w:sz w:val="22"/>
          <w:szCs w:val="22"/>
        </w:rPr>
        <w:t xml:space="preserve">our clients to </w:t>
      </w:r>
      <w:r w:rsidR="0030190F">
        <w:rPr>
          <w:rFonts w:asciiTheme="minorHAnsi" w:hAnsiTheme="minorHAnsi" w:cstheme="minorHAnsi"/>
          <w:i/>
          <w:sz w:val="22"/>
          <w:szCs w:val="22"/>
        </w:rPr>
        <w:t>address key industry trends with new approaches and to ensure these improvements seamlessly connect to future transformations.</w:t>
      </w:r>
    </w:p>
    <w:p w14:paraId="214879DA" w14:textId="77777777" w:rsidR="0030190F" w:rsidRDefault="0030190F" w:rsidP="006E02A7">
      <w:pPr>
        <w:pStyle w:val="Default"/>
        <w:jc w:val="both"/>
        <w:rPr>
          <w:rFonts w:asciiTheme="minorHAnsi" w:hAnsiTheme="minorHAnsi" w:cstheme="minorHAnsi"/>
          <w:i/>
          <w:sz w:val="22"/>
          <w:szCs w:val="22"/>
        </w:rPr>
      </w:pPr>
    </w:p>
    <w:p w14:paraId="0713A362" w14:textId="2B5C6899" w:rsidR="003F0637" w:rsidRDefault="00DD2F08" w:rsidP="00BB36FA">
      <w:pPr>
        <w:pStyle w:val="Default"/>
        <w:jc w:val="both"/>
        <w:rPr>
          <w:rFonts w:asciiTheme="minorHAnsi" w:hAnsiTheme="minorHAnsi" w:cstheme="minorHAnsi"/>
          <w:i/>
          <w:sz w:val="22"/>
          <w:szCs w:val="22"/>
        </w:rPr>
      </w:pPr>
      <w:r>
        <w:rPr>
          <w:rFonts w:asciiTheme="minorHAnsi" w:hAnsiTheme="minorHAnsi" w:cstheme="minorHAnsi"/>
          <w:i/>
          <w:sz w:val="22"/>
          <w:szCs w:val="22"/>
        </w:rPr>
        <w:t>“</w:t>
      </w:r>
      <w:r w:rsidR="0007043B" w:rsidRPr="0007043B">
        <w:rPr>
          <w:rFonts w:asciiTheme="minorHAnsi" w:hAnsiTheme="minorHAnsi" w:cstheme="minorHAnsi"/>
          <w:i/>
          <w:sz w:val="22"/>
          <w:szCs w:val="22"/>
        </w:rPr>
        <w:t>In Life Sciences, the COVID-19 vaccine development world race is revealing the value of leveraging virtual new world</w:t>
      </w:r>
      <w:r w:rsidR="00C26137">
        <w:rPr>
          <w:rFonts w:asciiTheme="minorHAnsi" w:hAnsiTheme="minorHAnsi" w:cstheme="minorHAnsi"/>
          <w:i/>
          <w:sz w:val="22"/>
          <w:szCs w:val="22"/>
        </w:rPr>
        <w:t>,</w:t>
      </w:r>
      <w:r w:rsidR="0007043B" w:rsidRPr="0007043B">
        <w:rPr>
          <w:rFonts w:asciiTheme="minorHAnsi" w:hAnsiTheme="minorHAnsi" w:cstheme="minorHAnsi"/>
          <w:i/>
          <w:sz w:val="22"/>
          <w:szCs w:val="22"/>
        </w:rPr>
        <w:t xml:space="preserve"> data sciences and analytics</w:t>
      </w:r>
      <w:r w:rsidR="00C26137">
        <w:rPr>
          <w:rFonts w:asciiTheme="minorHAnsi" w:hAnsiTheme="minorHAnsi" w:cstheme="minorHAnsi"/>
          <w:i/>
          <w:sz w:val="22"/>
          <w:szCs w:val="22"/>
        </w:rPr>
        <w:t>,</w:t>
      </w:r>
      <w:r w:rsidR="0007043B" w:rsidRPr="0007043B">
        <w:rPr>
          <w:rFonts w:asciiTheme="minorHAnsi" w:hAnsiTheme="minorHAnsi" w:cstheme="minorHAnsi"/>
          <w:i/>
          <w:sz w:val="22"/>
          <w:szCs w:val="22"/>
        </w:rPr>
        <w:t xml:space="preserve"> platform-based clinical trials, as well as the game change promise of virtual control arm use to improve performance scope and relevancy of clinical trials on the MEDIDATA platform. </w:t>
      </w:r>
    </w:p>
    <w:p w14:paraId="4E546862" w14:textId="77777777" w:rsidR="003F0637" w:rsidRDefault="003F0637" w:rsidP="00BB36FA">
      <w:pPr>
        <w:pStyle w:val="Default"/>
        <w:jc w:val="both"/>
        <w:rPr>
          <w:rFonts w:asciiTheme="minorHAnsi" w:hAnsiTheme="minorHAnsi" w:cstheme="minorHAnsi"/>
          <w:i/>
          <w:sz w:val="22"/>
          <w:szCs w:val="22"/>
        </w:rPr>
      </w:pPr>
    </w:p>
    <w:p w14:paraId="6918977B" w14:textId="12DC3210" w:rsidR="005327F0" w:rsidRDefault="00180847" w:rsidP="00BB36FA">
      <w:pPr>
        <w:pStyle w:val="Default"/>
        <w:jc w:val="both"/>
        <w:rPr>
          <w:rFonts w:asciiTheme="minorHAnsi" w:hAnsiTheme="minorHAnsi" w:cstheme="minorHAnsi"/>
          <w:i/>
          <w:sz w:val="22"/>
          <w:szCs w:val="22"/>
        </w:rPr>
      </w:pPr>
      <w:r>
        <w:rPr>
          <w:rFonts w:asciiTheme="minorHAnsi" w:hAnsiTheme="minorHAnsi" w:cstheme="minorHAnsi"/>
          <w:i/>
          <w:sz w:val="22"/>
          <w:szCs w:val="22"/>
        </w:rPr>
        <w:t>“</w:t>
      </w:r>
      <w:r w:rsidR="0007043B" w:rsidRPr="0007043B">
        <w:rPr>
          <w:rFonts w:asciiTheme="minorHAnsi" w:hAnsiTheme="minorHAnsi" w:cstheme="minorHAnsi"/>
          <w:i/>
          <w:sz w:val="22"/>
          <w:szCs w:val="22"/>
        </w:rPr>
        <w:t>Our BIOVIA and MEDIDATA teams</w:t>
      </w:r>
      <w:r w:rsidR="0007043B">
        <w:rPr>
          <w:rFonts w:asciiTheme="minorHAnsi" w:hAnsiTheme="minorHAnsi" w:cstheme="minorHAnsi"/>
          <w:i/>
          <w:sz w:val="22"/>
          <w:szCs w:val="22"/>
        </w:rPr>
        <w:t>’</w:t>
      </w:r>
      <w:r w:rsidR="0007043B" w:rsidRPr="0007043B">
        <w:rPr>
          <w:rFonts w:asciiTheme="minorHAnsi" w:hAnsiTheme="minorHAnsi" w:cstheme="minorHAnsi"/>
          <w:i/>
          <w:sz w:val="22"/>
          <w:szCs w:val="22"/>
        </w:rPr>
        <w:t xml:space="preserve"> deep understanding of the </w:t>
      </w:r>
      <w:r w:rsidR="0089700C">
        <w:rPr>
          <w:rFonts w:asciiTheme="minorHAnsi" w:hAnsiTheme="minorHAnsi" w:cstheme="minorHAnsi"/>
          <w:i/>
          <w:sz w:val="22"/>
          <w:szCs w:val="22"/>
        </w:rPr>
        <w:t xml:space="preserve">Life Sciences </w:t>
      </w:r>
      <w:r w:rsidR="0007043B" w:rsidRPr="0007043B">
        <w:rPr>
          <w:rFonts w:asciiTheme="minorHAnsi" w:hAnsiTheme="minorHAnsi" w:cstheme="minorHAnsi"/>
          <w:i/>
          <w:sz w:val="22"/>
          <w:szCs w:val="22"/>
        </w:rPr>
        <w:t>industry is readily demonstrated by its activity during the second quarter growing</w:t>
      </w:r>
      <w:r w:rsidR="00C26137">
        <w:rPr>
          <w:rFonts w:asciiTheme="minorHAnsi" w:hAnsiTheme="minorHAnsi" w:cstheme="minorHAnsi"/>
          <w:i/>
          <w:sz w:val="22"/>
          <w:szCs w:val="22"/>
        </w:rPr>
        <w:t>,</w:t>
      </w:r>
      <w:r w:rsidR="0007043B" w:rsidRPr="0007043B">
        <w:rPr>
          <w:rFonts w:asciiTheme="minorHAnsi" w:hAnsiTheme="minorHAnsi" w:cstheme="minorHAnsi"/>
          <w:i/>
          <w:sz w:val="22"/>
          <w:szCs w:val="22"/>
        </w:rPr>
        <w:t xml:space="preserve"> its customer base overall by 17%, expanding its relationships with the top 25 pharmaceutical companies and working with the large majority of companies focused on a COVID-19 vaccine development.</w:t>
      </w:r>
    </w:p>
    <w:p w14:paraId="7352EB2C" w14:textId="77777777" w:rsidR="005327F0" w:rsidRDefault="005327F0" w:rsidP="00BB36FA">
      <w:pPr>
        <w:pStyle w:val="Default"/>
        <w:jc w:val="both"/>
        <w:rPr>
          <w:rFonts w:asciiTheme="minorHAnsi" w:hAnsiTheme="minorHAnsi" w:cstheme="minorHAnsi"/>
          <w:i/>
          <w:sz w:val="22"/>
          <w:szCs w:val="22"/>
        </w:rPr>
      </w:pPr>
    </w:p>
    <w:p w14:paraId="7F729BDC" w14:textId="465045C0" w:rsidR="00007335" w:rsidRDefault="005327F0" w:rsidP="0053316A">
      <w:pPr>
        <w:pStyle w:val="Default"/>
        <w:jc w:val="both"/>
        <w:rPr>
          <w:rFonts w:asciiTheme="minorHAnsi" w:hAnsiTheme="minorHAnsi" w:cstheme="minorHAnsi"/>
          <w:i/>
          <w:sz w:val="22"/>
          <w:szCs w:val="22"/>
        </w:rPr>
      </w:pPr>
      <w:r>
        <w:rPr>
          <w:rFonts w:asciiTheme="minorHAnsi" w:hAnsiTheme="minorHAnsi" w:cstheme="minorHAnsi"/>
          <w:i/>
          <w:sz w:val="22"/>
          <w:szCs w:val="22"/>
        </w:rPr>
        <w:t>“</w:t>
      </w:r>
      <w:r w:rsidR="009E0C53">
        <w:rPr>
          <w:rFonts w:asciiTheme="minorHAnsi" w:hAnsiTheme="minorHAnsi" w:cstheme="minorHAnsi"/>
          <w:i/>
          <w:sz w:val="22"/>
          <w:szCs w:val="22"/>
        </w:rPr>
        <w:t xml:space="preserve">Knowledge is very often </w:t>
      </w:r>
      <w:r w:rsidR="00E77F34">
        <w:rPr>
          <w:rFonts w:asciiTheme="minorHAnsi" w:hAnsiTheme="minorHAnsi" w:cstheme="minorHAnsi"/>
          <w:i/>
          <w:sz w:val="22"/>
          <w:szCs w:val="22"/>
        </w:rPr>
        <w:t xml:space="preserve">a </w:t>
      </w:r>
      <w:r w:rsidR="00F826EC">
        <w:rPr>
          <w:rFonts w:asciiTheme="minorHAnsi" w:hAnsiTheme="minorHAnsi" w:cstheme="minorHAnsi"/>
          <w:i/>
          <w:sz w:val="22"/>
          <w:szCs w:val="22"/>
        </w:rPr>
        <w:t>prisoner</w:t>
      </w:r>
      <w:r w:rsidR="009E0C53">
        <w:rPr>
          <w:rFonts w:asciiTheme="minorHAnsi" w:hAnsiTheme="minorHAnsi" w:cstheme="minorHAnsi"/>
          <w:i/>
          <w:sz w:val="22"/>
          <w:szCs w:val="22"/>
        </w:rPr>
        <w:t xml:space="preserve"> in text. With the acquisition of </w:t>
      </w:r>
      <w:proofErr w:type="spellStart"/>
      <w:r w:rsidR="009E0C53">
        <w:rPr>
          <w:rFonts w:asciiTheme="minorHAnsi" w:hAnsiTheme="minorHAnsi" w:cstheme="minorHAnsi"/>
          <w:i/>
          <w:sz w:val="22"/>
          <w:szCs w:val="22"/>
        </w:rPr>
        <w:t>Proxem</w:t>
      </w:r>
      <w:proofErr w:type="spellEnd"/>
      <w:r w:rsidR="009E0C53">
        <w:rPr>
          <w:rFonts w:asciiTheme="minorHAnsi" w:hAnsiTheme="minorHAnsi" w:cstheme="minorHAnsi"/>
          <w:i/>
          <w:sz w:val="22"/>
          <w:szCs w:val="22"/>
        </w:rPr>
        <w:t xml:space="preserve">, </w:t>
      </w:r>
      <w:r w:rsidR="00F26FFA">
        <w:rPr>
          <w:rFonts w:asciiTheme="minorHAnsi" w:hAnsiTheme="minorHAnsi" w:cstheme="minorHAnsi"/>
          <w:i/>
          <w:sz w:val="22"/>
          <w:szCs w:val="22"/>
        </w:rPr>
        <w:t xml:space="preserve">using their natural language processing technologies, </w:t>
      </w:r>
      <w:r w:rsidR="009E0C53">
        <w:rPr>
          <w:rFonts w:asciiTheme="minorHAnsi" w:hAnsiTheme="minorHAnsi" w:cstheme="minorHAnsi"/>
          <w:i/>
          <w:sz w:val="22"/>
          <w:szCs w:val="22"/>
        </w:rPr>
        <w:t xml:space="preserve">we </w:t>
      </w:r>
      <w:r w:rsidR="00F6702E">
        <w:rPr>
          <w:rFonts w:asciiTheme="minorHAnsi" w:hAnsiTheme="minorHAnsi" w:cstheme="minorHAnsi"/>
          <w:i/>
          <w:sz w:val="22"/>
          <w:szCs w:val="22"/>
        </w:rPr>
        <w:t xml:space="preserve">can </w:t>
      </w:r>
      <w:r w:rsidR="009E0C53">
        <w:rPr>
          <w:rFonts w:asciiTheme="minorHAnsi" w:hAnsiTheme="minorHAnsi" w:cstheme="minorHAnsi"/>
          <w:i/>
          <w:sz w:val="22"/>
          <w:szCs w:val="22"/>
        </w:rPr>
        <w:t xml:space="preserve">extract </w:t>
      </w:r>
      <w:r w:rsidR="00F26FFA">
        <w:rPr>
          <w:rFonts w:asciiTheme="minorHAnsi" w:hAnsiTheme="minorHAnsi" w:cstheme="minorHAnsi"/>
          <w:i/>
          <w:sz w:val="22"/>
          <w:szCs w:val="22"/>
        </w:rPr>
        <w:t xml:space="preserve">this knowledge </w:t>
      </w:r>
      <w:r w:rsidR="00F6702E">
        <w:rPr>
          <w:rFonts w:asciiTheme="minorHAnsi" w:hAnsiTheme="minorHAnsi" w:cstheme="minorHAnsi"/>
          <w:i/>
          <w:sz w:val="22"/>
          <w:szCs w:val="22"/>
        </w:rPr>
        <w:t>from document</w:t>
      </w:r>
      <w:r w:rsidR="00E77F34">
        <w:rPr>
          <w:rFonts w:asciiTheme="minorHAnsi" w:hAnsiTheme="minorHAnsi" w:cstheme="minorHAnsi"/>
          <w:i/>
          <w:sz w:val="22"/>
          <w:szCs w:val="22"/>
        </w:rPr>
        <w:t>s</w:t>
      </w:r>
      <w:r w:rsidR="00F6702E">
        <w:rPr>
          <w:rFonts w:asciiTheme="minorHAnsi" w:hAnsiTheme="minorHAnsi" w:cstheme="minorHAnsi"/>
          <w:i/>
          <w:sz w:val="22"/>
          <w:szCs w:val="22"/>
        </w:rPr>
        <w:t xml:space="preserve"> and</w:t>
      </w:r>
      <w:r w:rsidR="009E0C53">
        <w:rPr>
          <w:rFonts w:asciiTheme="minorHAnsi" w:hAnsiTheme="minorHAnsi" w:cstheme="minorHAnsi"/>
          <w:i/>
          <w:sz w:val="22"/>
          <w:szCs w:val="22"/>
        </w:rPr>
        <w:t xml:space="preserve"> use it through data sciences and data analytics</w:t>
      </w:r>
      <w:r w:rsidR="00F6702E">
        <w:rPr>
          <w:rFonts w:asciiTheme="minorHAnsi" w:hAnsiTheme="minorHAnsi" w:cstheme="minorHAnsi"/>
          <w:i/>
          <w:sz w:val="22"/>
          <w:szCs w:val="22"/>
        </w:rPr>
        <w:t>, turning it into experience</w:t>
      </w:r>
      <w:r w:rsidR="00F26FFA">
        <w:rPr>
          <w:rFonts w:asciiTheme="minorHAnsi" w:hAnsiTheme="minorHAnsi" w:cstheme="minorHAnsi"/>
          <w:i/>
          <w:sz w:val="22"/>
          <w:szCs w:val="22"/>
        </w:rPr>
        <w:t xml:space="preserve"> and enabling our clients to automate their interpretation</w:t>
      </w:r>
      <w:r w:rsidR="009E0C53">
        <w:rPr>
          <w:rFonts w:asciiTheme="minorHAnsi" w:hAnsiTheme="minorHAnsi" w:cstheme="minorHAnsi"/>
          <w:i/>
          <w:sz w:val="22"/>
          <w:szCs w:val="22"/>
        </w:rPr>
        <w:t xml:space="preserve">.  </w:t>
      </w:r>
    </w:p>
    <w:p w14:paraId="1D814516" w14:textId="77777777" w:rsidR="00007335" w:rsidRDefault="00007335" w:rsidP="0053316A">
      <w:pPr>
        <w:pStyle w:val="Default"/>
        <w:jc w:val="both"/>
        <w:rPr>
          <w:rFonts w:asciiTheme="minorHAnsi" w:hAnsiTheme="minorHAnsi" w:cstheme="minorHAnsi"/>
          <w:i/>
          <w:sz w:val="22"/>
          <w:szCs w:val="22"/>
        </w:rPr>
      </w:pPr>
    </w:p>
    <w:p w14:paraId="663A268C" w14:textId="2ABFD74C" w:rsidR="00DD2F08" w:rsidRPr="00830483" w:rsidRDefault="00007335" w:rsidP="0053316A">
      <w:pPr>
        <w:pStyle w:val="Default"/>
        <w:jc w:val="both"/>
        <w:rPr>
          <w:rFonts w:asciiTheme="minorHAnsi" w:hAnsiTheme="minorHAnsi" w:cstheme="minorHAnsi"/>
          <w:i/>
          <w:sz w:val="22"/>
          <w:szCs w:val="22"/>
        </w:rPr>
      </w:pPr>
      <w:r>
        <w:rPr>
          <w:rFonts w:asciiTheme="minorHAnsi" w:hAnsiTheme="minorHAnsi" w:cstheme="minorHAnsi"/>
          <w:i/>
          <w:sz w:val="22"/>
          <w:szCs w:val="22"/>
        </w:rPr>
        <w:t xml:space="preserve">“Finally, more than ever, </w:t>
      </w:r>
      <w:r w:rsidR="00AF5F94">
        <w:rPr>
          <w:rFonts w:asciiTheme="minorHAnsi" w:hAnsiTheme="minorHAnsi" w:cstheme="minorHAnsi"/>
          <w:i/>
          <w:sz w:val="22"/>
          <w:szCs w:val="22"/>
        </w:rPr>
        <w:t>t</w:t>
      </w:r>
      <w:r w:rsidR="00A12FFE">
        <w:rPr>
          <w:rFonts w:asciiTheme="minorHAnsi" w:hAnsiTheme="minorHAnsi" w:cstheme="minorHAnsi"/>
          <w:i/>
          <w:sz w:val="22"/>
          <w:szCs w:val="22"/>
        </w:rPr>
        <w:t xml:space="preserve">he virtual world offers an immense opportunity to imagine and help create sustainable innovations for a better future.”  </w:t>
      </w:r>
      <w:r w:rsidR="00A12FFE" w:rsidRPr="00005522">
        <w:rPr>
          <w:rFonts w:asciiTheme="minorHAnsi" w:hAnsiTheme="minorHAnsi" w:cstheme="minorHAnsi"/>
          <w:i/>
          <w:sz w:val="22"/>
          <w:szCs w:val="22"/>
        </w:rPr>
        <w:t xml:space="preserve"> </w:t>
      </w:r>
      <w:r w:rsidR="00A12FFE">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0053316A">
        <w:rPr>
          <w:rFonts w:asciiTheme="minorHAnsi" w:hAnsiTheme="minorHAnsi" w:cstheme="minorHAnsi"/>
          <w:i/>
          <w:sz w:val="22"/>
          <w:szCs w:val="22"/>
        </w:rPr>
        <w:t xml:space="preserve">  </w:t>
      </w:r>
    </w:p>
    <w:p w14:paraId="2A5EA2E6" w14:textId="77777777" w:rsidR="00BB36FA" w:rsidRDefault="00BB36FA" w:rsidP="00FA7511">
      <w:pPr>
        <w:pStyle w:val="Default"/>
        <w:jc w:val="both"/>
        <w:rPr>
          <w:rFonts w:asciiTheme="minorHAnsi" w:hAnsiTheme="minorHAnsi" w:cstheme="minorHAnsi"/>
          <w:i/>
          <w:sz w:val="22"/>
          <w:szCs w:val="22"/>
        </w:rPr>
      </w:pPr>
    </w:p>
    <w:p w14:paraId="16FBC2EA" w14:textId="6E8AC4E5" w:rsidR="00253249" w:rsidRPr="000A5651" w:rsidRDefault="00CA4FE1" w:rsidP="00253249">
      <w:pPr>
        <w:jc w:val="center"/>
        <w:rPr>
          <w:rFonts w:asciiTheme="minorHAnsi" w:hAnsiTheme="minorHAnsi" w:cstheme="minorHAnsi"/>
          <w:b/>
          <w:sz w:val="24"/>
        </w:rPr>
      </w:pPr>
      <w:r>
        <w:rPr>
          <w:rFonts w:asciiTheme="minorHAnsi" w:hAnsiTheme="minorHAnsi" w:cstheme="minorHAnsi"/>
          <w:b/>
          <w:sz w:val="24"/>
        </w:rPr>
        <w:t>Second</w:t>
      </w:r>
      <w:r w:rsidR="00A14539" w:rsidRPr="000A5651">
        <w:rPr>
          <w:rFonts w:asciiTheme="minorHAnsi" w:hAnsiTheme="minorHAnsi" w:cstheme="minorHAnsi"/>
          <w:b/>
          <w:sz w:val="24"/>
        </w:rPr>
        <w:t xml:space="preserve"> Quarter Financial Summary </w:t>
      </w:r>
    </w:p>
    <w:p w14:paraId="53713CFC" w14:textId="77777777" w:rsidR="002C1763" w:rsidRDefault="005E19FC" w:rsidP="002C1763">
      <w:pPr>
        <w:widowControl w:val="0"/>
        <w:tabs>
          <w:tab w:val="left" w:pos="-720"/>
          <w:tab w:val="left" w:pos="1"/>
          <w:tab w:val="right" w:pos="4320"/>
          <w:tab w:val="left" w:pos="46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MS Mincho" w:hAnsiTheme="minorHAnsi" w:cstheme="minorHAnsi"/>
          <w:bCs/>
          <w:color w:val="000000"/>
          <w:lang w:val="en-GB" w:bidi="he-IL"/>
        </w:rPr>
      </w:pPr>
      <w:r w:rsidRPr="00E26714">
        <w:rPr>
          <w:rFonts w:asciiTheme="minorHAnsi" w:hAnsiTheme="minorHAnsi" w:cstheme="minorHAnsi"/>
        </w:rPr>
        <w:t>(Unaudited)</w:t>
      </w:r>
      <w:r w:rsidR="002C1763" w:rsidRPr="002C1763">
        <w:rPr>
          <w:rFonts w:asciiTheme="minorHAnsi" w:eastAsia="MS Mincho" w:hAnsiTheme="minorHAnsi" w:cstheme="minorHAnsi"/>
          <w:bCs/>
          <w:color w:val="000000"/>
          <w:lang w:val="en-GB" w:bidi="he-IL"/>
        </w:rPr>
        <w:t xml:space="preserve"> </w:t>
      </w:r>
    </w:p>
    <w:p w14:paraId="49308D5A" w14:textId="77777777" w:rsidR="002C1763" w:rsidRPr="0005016A" w:rsidRDefault="002C1763" w:rsidP="002C1763">
      <w:pPr>
        <w:widowControl w:val="0"/>
        <w:tabs>
          <w:tab w:val="left" w:pos="-720"/>
          <w:tab w:val="left" w:pos="1"/>
          <w:tab w:val="right" w:pos="4320"/>
          <w:tab w:val="left" w:pos="46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MS Mincho" w:hAnsiTheme="minorHAnsi" w:cstheme="minorHAnsi"/>
          <w:bCs/>
          <w:color w:val="000000"/>
          <w:sz w:val="14"/>
          <w:szCs w:val="14"/>
          <w:vertAlign w:val="superscript"/>
          <w:lang w:val="en-GB" w:bidi="he-IL"/>
        </w:rPr>
      </w:pPr>
    </w:p>
    <w:tbl>
      <w:tblPr>
        <w:tblW w:w="9351" w:type="dxa"/>
        <w:tblLayout w:type="fixed"/>
        <w:tblLook w:val="04A0" w:firstRow="1" w:lastRow="0" w:firstColumn="1" w:lastColumn="0" w:noHBand="0" w:noVBand="1"/>
      </w:tblPr>
      <w:tblGrid>
        <w:gridCol w:w="1980"/>
        <w:gridCol w:w="283"/>
        <w:gridCol w:w="851"/>
        <w:gridCol w:w="850"/>
        <w:gridCol w:w="851"/>
        <w:gridCol w:w="850"/>
        <w:gridCol w:w="284"/>
        <w:gridCol w:w="850"/>
        <w:gridCol w:w="851"/>
        <w:gridCol w:w="850"/>
        <w:gridCol w:w="851"/>
      </w:tblGrid>
      <w:tr w:rsidR="00CC7D36" w:rsidRPr="00CA4A72" w14:paraId="6713CD85" w14:textId="77777777" w:rsidTr="00CC7D36">
        <w:trPr>
          <w:trHeight w:val="255"/>
        </w:trPr>
        <w:tc>
          <w:tcPr>
            <w:tcW w:w="1980" w:type="dxa"/>
            <w:vMerge w:val="restart"/>
            <w:tcBorders>
              <w:top w:val="single" w:sz="4" w:space="0" w:color="auto"/>
              <w:left w:val="single" w:sz="4" w:space="0" w:color="auto"/>
              <w:bottom w:val="single" w:sz="4" w:space="0" w:color="000000"/>
              <w:right w:val="single" w:sz="4" w:space="0" w:color="auto"/>
            </w:tcBorders>
            <w:vAlign w:val="center"/>
            <w:hideMark/>
          </w:tcPr>
          <w:p w14:paraId="296678EF" w14:textId="77777777" w:rsidR="00CC7D36" w:rsidRPr="00CA4A72" w:rsidRDefault="00CC7D36" w:rsidP="00CC7D36">
            <w:pPr>
              <w:spacing w:line="276" w:lineRule="auto"/>
              <w:jc w:val="center"/>
              <w:rPr>
                <w:rFonts w:asciiTheme="minorHAnsi" w:eastAsia="Times New Roman" w:hAnsiTheme="minorHAnsi" w:cstheme="minorHAnsi"/>
                <w:sz w:val="14"/>
                <w:szCs w:val="14"/>
                <w:lang w:eastAsia="en-GB"/>
              </w:rPr>
            </w:pPr>
            <w:r w:rsidRPr="00CA4A72">
              <w:rPr>
                <w:rFonts w:asciiTheme="minorHAnsi" w:hAnsiTheme="minorHAnsi" w:cstheme="minorHAnsi"/>
                <w:sz w:val="14"/>
                <w:szCs w:val="14"/>
              </w:rPr>
              <w:t xml:space="preserve">In millions of Euros, </w:t>
            </w:r>
            <w:r w:rsidRPr="00CA4A72">
              <w:rPr>
                <w:rFonts w:asciiTheme="minorHAnsi" w:hAnsiTheme="minorHAnsi" w:cstheme="minorHAnsi"/>
                <w:sz w:val="14"/>
                <w:szCs w:val="14"/>
              </w:rPr>
              <w:br/>
              <w:t>except per share data and percentages</w:t>
            </w:r>
          </w:p>
        </w:tc>
        <w:tc>
          <w:tcPr>
            <w:tcW w:w="283" w:type="dxa"/>
            <w:noWrap/>
            <w:vAlign w:val="bottom"/>
          </w:tcPr>
          <w:p w14:paraId="5B3A3C4C" w14:textId="77777777" w:rsidR="00CC7D36" w:rsidRPr="00CA4A72" w:rsidRDefault="00CC7D36" w:rsidP="00CC7D36">
            <w:pPr>
              <w:spacing w:line="276" w:lineRule="auto"/>
              <w:jc w:val="center"/>
              <w:rPr>
                <w:rFonts w:asciiTheme="minorHAnsi" w:eastAsia="Times New Roman" w:hAnsiTheme="minorHAnsi" w:cstheme="minorHAnsi"/>
                <w:sz w:val="14"/>
                <w:szCs w:val="14"/>
                <w:lang w:eastAsia="en-GB"/>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428076C"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eastAsia="Times New Roman" w:hAnsiTheme="minorHAnsi" w:cstheme="minorHAnsi"/>
                <w:b/>
                <w:bCs/>
                <w:sz w:val="14"/>
                <w:szCs w:val="14"/>
                <w:lang w:eastAsia="en-GB"/>
              </w:rPr>
              <w:t xml:space="preserve">IFRS </w:t>
            </w:r>
          </w:p>
        </w:tc>
        <w:tc>
          <w:tcPr>
            <w:tcW w:w="284" w:type="dxa"/>
            <w:noWrap/>
            <w:vAlign w:val="bottom"/>
          </w:tcPr>
          <w:p w14:paraId="6EB1B5F0"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29DB41F"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eastAsia="Times New Roman" w:hAnsiTheme="minorHAnsi" w:cstheme="minorHAnsi"/>
                <w:b/>
                <w:bCs/>
                <w:sz w:val="14"/>
                <w:szCs w:val="14"/>
                <w:lang w:eastAsia="en-GB"/>
              </w:rPr>
              <w:t>Non-IFRS</w:t>
            </w:r>
          </w:p>
        </w:tc>
      </w:tr>
      <w:tr w:rsidR="00CC7D36" w:rsidRPr="00CA4A72" w14:paraId="7876EAFF" w14:textId="77777777" w:rsidTr="00CC7D36">
        <w:trPr>
          <w:trHeight w:val="420"/>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7DC0535C" w14:textId="77777777" w:rsidR="00CC7D36" w:rsidRPr="00CA4A72" w:rsidRDefault="00CC7D36" w:rsidP="00CC7D36">
            <w:pPr>
              <w:spacing w:line="276" w:lineRule="auto"/>
              <w:rPr>
                <w:rFonts w:asciiTheme="minorHAnsi" w:eastAsia="Times New Roman" w:hAnsiTheme="minorHAnsi" w:cstheme="minorHAnsi"/>
                <w:sz w:val="14"/>
                <w:szCs w:val="14"/>
                <w:lang w:eastAsia="en-GB"/>
              </w:rPr>
            </w:pPr>
          </w:p>
        </w:tc>
        <w:tc>
          <w:tcPr>
            <w:tcW w:w="283" w:type="dxa"/>
            <w:noWrap/>
            <w:vAlign w:val="bottom"/>
          </w:tcPr>
          <w:p w14:paraId="564AEDC7"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0C0CA" w14:textId="77777777" w:rsidR="00CC7D36" w:rsidRPr="0038336B" w:rsidRDefault="00CC7D36" w:rsidP="00CC7D36">
            <w:pPr>
              <w:spacing w:line="276" w:lineRule="auto"/>
              <w:jc w:val="center"/>
              <w:rPr>
                <w:rFonts w:asciiTheme="minorHAnsi" w:eastAsia="Times New Roman" w:hAnsiTheme="minorHAnsi" w:cstheme="minorHAnsi"/>
                <w:b/>
                <w:bCs/>
                <w:sz w:val="14"/>
                <w:szCs w:val="14"/>
                <w:lang w:eastAsia="en-GB"/>
              </w:rPr>
            </w:pPr>
            <w:r w:rsidRPr="0038336B">
              <w:rPr>
                <w:rFonts w:asciiTheme="minorHAnsi" w:hAnsiTheme="minorHAnsi" w:cstheme="minorHAnsi"/>
                <w:b/>
                <w:bCs/>
                <w:sz w:val="14"/>
                <w:szCs w:val="14"/>
              </w:rPr>
              <w:t>Q2 2020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40C287" w14:textId="77777777" w:rsidR="00CC7D36" w:rsidRPr="0038336B" w:rsidRDefault="00CC7D36" w:rsidP="00CC7D36">
            <w:pPr>
              <w:spacing w:line="276" w:lineRule="auto"/>
              <w:jc w:val="center"/>
              <w:rPr>
                <w:rFonts w:asciiTheme="minorHAnsi" w:eastAsia="Times New Roman" w:hAnsiTheme="minorHAnsi" w:cstheme="minorHAnsi"/>
                <w:b/>
                <w:bCs/>
                <w:sz w:val="14"/>
                <w:szCs w:val="14"/>
                <w:lang w:eastAsia="en-GB"/>
              </w:rPr>
            </w:pPr>
            <w:r w:rsidRPr="0038336B">
              <w:rPr>
                <w:rFonts w:asciiTheme="minorHAnsi" w:hAnsiTheme="minorHAnsi" w:cstheme="minorHAnsi"/>
                <w:b/>
                <w:bCs/>
                <w:sz w:val="14"/>
                <w:szCs w:val="16"/>
              </w:rPr>
              <w:t>Q2 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67370E9"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hAnsiTheme="minorHAnsi" w:cstheme="minorHAnsi"/>
                <w:b/>
                <w:bCs/>
                <w:sz w:val="14"/>
                <w:szCs w:val="14"/>
              </w:rPr>
              <w:t>Change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5BF7981"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Pr>
                <w:rFonts w:asciiTheme="minorHAnsi" w:hAnsiTheme="minorHAnsi" w:cstheme="minorHAnsi"/>
                <w:b/>
                <w:bCs/>
                <w:sz w:val="14"/>
                <w:szCs w:val="14"/>
              </w:rPr>
              <w:t xml:space="preserve">Change in </w:t>
            </w:r>
            <w:r w:rsidRPr="00F940FF">
              <w:rPr>
                <w:rFonts w:asciiTheme="minorHAnsi" w:hAnsiTheme="minorHAnsi" w:cstheme="minorHAnsi"/>
                <w:b/>
                <w:bCs/>
                <w:sz w:val="14"/>
                <w:szCs w:val="14"/>
              </w:rPr>
              <w:t>constant currencies</w:t>
            </w:r>
          </w:p>
        </w:tc>
        <w:tc>
          <w:tcPr>
            <w:tcW w:w="284" w:type="dxa"/>
            <w:noWrap/>
            <w:vAlign w:val="bottom"/>
          </w:tcPr>
          <w:p w14:paraId="3DA5220E"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844E9" w14:textId="77777777" w:rsidR="00CC7D36" w:rsidRPr="00CA4A72" w:rsidRDefault="00CC7D36" w:rsidP="00CC7D36">
            <w:pPr>
              <w:spacing w:line="276" w:lineRule="auto"/>
              <w:jc w:val="center"/>
              <w:rPr>
                <w:rFonts w:asciiTheme="minorHAnsi" w:eastAsia="Times New Roman" w:hAnsiTheme="minorHAnsi" w:cstheme="minorHAnsi"/>
                <w:b/>
                <w:bCs/>
                <w:sz w:val="14"/>
                <w:szCs w:val="14"/>
                <w:highlight w:val="green"/>
                <w:lang w:eastAsia="en-GB"/>
              </w:rPr>
            </w:pPr>
            <w:r w:rsidRPr="0038336B">
              <w:rPr>
                <w:rFonts w:asciiTheme="minorHAnsi" w:hAnsiTheme="minorHAnsi" w:cstheme="minorHAnsi"/>
                <w:b/>
                <w:bCs/>
                <w:sz w:val="14"/>
                <w:szCs w:val="14"/>
              </w:rPr>
              <w:t>Q2 2020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55185F9B" w14:textId="77777777" w:rsidR="00CC7D36" w:rsidRPr="00CA4A72" w:rsidRDefault="00CC7D36" w:rsidP="00CC7D36">
            <w:pPr>
              <w:spacing w:line="276" w:lineRule="auto"/>
              <w:jc w:val="center"/>
              <w:rPr>
                <w:rFonts w:asciiTheme="minorHAnsi" w:eastAsia="Times New Roman" w:hAnsiTheme="minorHAnsi" w:cstheme="minorHAnsi"/>
                <w:b/>
                <w:bCs/>
                <w:sz w:val="14"/>
                <w:szCs w:val="14"/>
                <w:highlight w:val="green"/>
                <w:lang w:eastAsia="en-GB"/>
              </w:rPr>
            </w:pPr>
            <w:r w:rsidRPr="0038336B">
              <w:rPr>
                <w:rFonts w:asciiTheme="minorHAnsi" w:hAnsiTheme="minorHAnsi" w:cstheme="minorHAnsi"/>
                <w:b/>
                <w:bCs/>
                <w:sz w:val="14"/>
                <w:szCs w:val="16"/>
              </w:rPr>
              <w:t>Q2 2019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318A9A9"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hAnsiTheme="minorHAnsi" w:cstheme="minorHAnsi"/>
                <w:b/>
                <w:bCs/>
                <w:sz w:val="14"/>
                <w:szCs w:val="14"/>
              </w:rPr>
              <w:t>Change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431758A"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Pr>
                <w:rFonts w:asciiTheme="minorHAnsi" w:hAnsiTheme="minorHAnsi" w:cstheme="minorHAnsi"/>
                <w:b/>
                <w:bCs/>
                <w:sz w:val="14"/>
                <w:szCs w:val="14"/>
              </w:rPr>
              <w:t xml:space="preserve">Change in </w:t>
            </w:r>
            <w:r w:rsidRPr="00F940FF">
              <w:rPr>
                <w:rFonts w:asciiTheme="minorHAnsi" w:hAnsiTheme="minorHAnsi" w:cstheme="minorHAnsi"/>
                <w:b/>
                <w:bCs/>
                <w:sz w:val="14"/>
                <w:szCs w:val="14"/>
              </w:rPr>
              <w:t>constant currencies</w:t>
            </w:r>
          </w:p>
        </w:tc>
      </w:tr>
      <w:tr w:rsidR="00CC7D36" w:rsidRPr="00CA4A72" w14:paraId="7D3AF86E" w14:textId="77777777" w:rsidTr="00CC7D36">
        <w:trPr>
          <w:trHeight w:val="227"/>
        </w:trPr>
        <w:tc>
          <w:tcPr>
            <w:tcW w:w="1980" w:type="dxa"/>
            <w:tcBorders>
              <w:top w:val="single" w:sz="4" w:space="0" w:color="auto"/>
              <w:left w:val="single" w:sz="4" w:space="0" w:color="auto"/>
              <w:bottom w:val="single" w:sz="4" w:space="0" w:color="auto"/>
              <w:right w:val="single" w:sz="4" w:space="0" w:color="auto"/>
            </w:tcBorders>
            <w:vAlign w:val="center"/>
            <w:hideMark/>
          </w:tcPr>
          <w:p w14:paraId="05223DDD" w14:textId="77777777" w:rsidR="00CC7D36" w:rsidRPr="00CA4A72" w:rsidRDefault="00CC7D36" w:rsidP="00CC7D36">
            <w:pPr>
              <w:spacing w:line="276" w:lineRule="auto"/>
              <w:rPr>
                <w:rFonts w:asciiTheme="minorHAnsi" w:eastAsia="Times New Roman" w:hAnsiTheme="minorHAnsi" w:cstheme="minorHAnsi"/>
                <w:sz w:val="14"/>
                <w:szCs w:val="14"/>
                <w:lang w:eastAsia="en-GB"/>
              </w:rPr>
            </w:pPr>
            <w:r w:rsidRPr="00CA4A72">
              <w:rPr>
                <w:rFonts w:asciiTheme="minorHAnsi" w:hAnsiTheme="minorHAnsi" w:cstheme="minorHAnsi"/>
                <w:sz w:val="14"/>
                <w:szCs w:val="14"/>
              </w:rPr>
              <w:t>Total Revenue</w:t>
            </w:r>
          </w:p>
        </w:tc>
        <w:tc>
          <w:tcPr>
            <w:tcW w:w="283" w:type="dxa"/>
            <w:noWrap/>
            <w:vAlign w:val="bottom"/>
          </w:tcPr>
          <w:p w14:paraId="0DABF944" w14:textId="77777777" w:rsidR="00CC7D36" w:rsidRPr="00CA4A72" w:rsidRDefault="00CC7D36" w:rsidP="00CC7D36">
            <w:pPr>
              <w:spacing w:line="276" w:lineRule="auto"/>
              <w:ind w:firstLineChars="100" w:firstLine="140"/>
              <w:rPr>
                <w:rFonts w:asciiTheme="minorHAnsi" w:eastAsia="Times New Roman" w:hAnsiTheme="minorHAnsi" w:cstheme="minorHAnsi"/>
                <w:sz w:val="14"/>
                <w:szCs w:val="14"/>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865F1A"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1,068.7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FB212A"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961.4</w:t>
            </w:r>
          </w:p>
        </w:tc>
        <w:tc>
          <w:tcPr>
            <w:tcW w:w="851" w:type="dxa"/>
            <w:tcBorders>
              <w:top w:val="single" w:sz="4" w:space="0" w:color="auto"/>
              <w:left w:val="nil"/>
              <w:bottom w:val="single" w:sz="4" w:space="0" w:color="auto"/>
              <w:right w:val="single" w:sz="4" w:space="0" w:color="auto"/>
            </w:tcBorders>
            <w:shd w:val="clear" w:color="auto" w:fill="auto"/>
            <w:vAlign w:val="center"/>
          </w:tcPr>
          <w:p w14:paraId="0734355B"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11%</w:t>
            </w:r>
          </w:p>
        </w:tc>
        <w:tc>
          <w:tcPr>
            <w:tcW w:w="850" w:type="dxa"/>
            <w:tcBorders>
              <w:top w:val="single" w:sz="4" w:space="0" w:color="auto"/>
              <w:left w:val="nil"/>
              <w:bottom w:val="single" w:sz="4" w:space="0" w:color="auto"/>
              <w:right w:val="single" w:sz="4" w:space="0" w:color="auto"/>
            </w:tcBorders>
            <w:shd w:val="clear" w:color="auto" w:fill="auto"/>
            <w:vAlign w:val="center"/>
          </w:tcPr>
          <w:p w14:paraId="78EFA984"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r w:rsidRPr="00702A32">
              <w:rPr>
                <w:rFonts w:asciiTheme="minorHAnsi" w:hAnsiTheme="minorHAnsi" w:cstheme="minorHAnsi"/>
                <w:color w:val="000000"/>
                <w:sz w:val="14"/>
                <w:szCs w:val="14"/>
              </w:rPr>
              <w:t>10%</w:t>
            </w:r>
          </w:p>
        </w:tc>
        <w:tc>
          <w:tcPr>
            <w:tcW w:w="284" w:type="dxa"/>
            <w:noWrap/>
            <w:vAlign w:val="center"/>
          </w:tcPr>
          <w:p w14:paraId="1D471568"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0CF259"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1,070.6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BA29AE"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965.4</w:t>
            </w:r>
          </w:p>
        </w:tc>
        <w:tc>
          <w:tcPr>
            <w:tcW w:w="850" w:type="dxa"/>
            <w:tcBorders>
              <w:top w:val="single" w:sz="4" w:space="0" w:color="auto"/>
              <w:left w:val="nil"/>
              <w:bottom w:val="single" w:sz="4" w:space="0" w:color="auto"/>
              <w:right w:val="single" w:sz="4" w:space="0" w:color="auto"/>
            </w:tcBorders>
            <w:shd w:val="clear" w:color="auto" w:fill="auto"/>
            <w:vAlign w:val="center"/>
          </w:tcPr>
          <w:p w14:paraId="62DDE0E2"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11%</w:t>
            </w:r>
          </w:p>
        </w:tc>
        <w:tc>
          <w:tcPr>
            <w:tcW w:w="851" w:type="dxa"/>
            <w:tcBorders>
              <w:top w:val="single" w:sz="4" w:space="0" w:color="auto"/>
              <w:left w:val="nil"/>
              <w:bottom w:val="single" w:sz="4" w:space="0" w:color="auto"/>
              <w:right w:val="single" w:sz="4" w:space="0" w:color="auto"/>
            </w:tcBorders>
            <w:shd w:val="clear" w:color="auto" w:fill="auto"/>
            <w:vAlign w:val="center"/>
          </w:tcPr>
          <w:p w14:paraId="750934C9"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r w:rsidRPr="00702A32">
              <w:rPr>
                <w:rFonts w:asciiTheme="minorHAnsi" w:hAnsiTheme="minorHAnsi" w:cstheme="minorHAnsi"/>
                <w:color w:val="000000"/>
                <w:sz w:val="14"/>
                <w:szCs w:val="14"/>
              </w:rPr>
              <w:t>10%</w:t>
            </w:r>
          </w:p>
        </w:tc>
      </w:tr>
      <w:tr w:rsidR="00CC7D36" w:rsidRPr="00CA4A72" w14:paraId="50DA5CC8" w14:textId="77777777" w:rsidTr="00CC7D36">
        <w:trPr>
          <w:trHeight w:val="227"/>
        </w:trPr>
        <w:tc>
          <w:tcPr>
            <w:tcW w:w="1980" w:type="dxa"/>
            <w:tcBorders>
              <w:top w:val="nil"/>
              <w:left w:val="single" w:sz="4" w:space="0" w:color="auto"/>
              <w:bottom w:val="single" w:sz="4" w:space="0" w:color="auto"/>
              <w:right w:val="single" w:sz="4" w:space="0" w:color="auto"/>
            </w:tcBorders>
            <w:vAlign w:val="center"/>
            <w:hideMark/>
          </w:tcPr>
          <w:p w14:paraId="5A598613" w14:textId="77777777" w:rsidR="00CC7D36" w:rsidRPr="00CA4A72" w:rsidRDefault="00CC7D36" w:rsidP="00CC7D36">
            <w:pPr>
              <w:spacing w:line="276" w:lineRule="auto"/>
              <w:rPr>
                <w:rFonts w:asciiTheme="minorHAnsi" w:eastAsia="Times New Roman" w:hAnsiTheme="minorHAnsi" w:cstheme="minorHAnsi"/>
                <w:sz w:val="14"/>
                <w:szCs w:val="14"/>
                <w:lang w:eastAsia="en-GB"/>
              </w:rPr>
            </w:pPr>
            <w:r w:rsidRPr="00CA4A72">
              <w:rPr>
                <w:rFonts w:asciiTheme="minorHAnsi" w:hAnsiTheme="minorHAnsi" w:cstheme="minorHAnsi"/>
                <w:sz w:val="14"/>
                <w:szCs w:val="14"/>
              </w:rPr>
              <w:t>Software Revenue</w:t>
            </w:r>
          </w:p>
        </w:tc>
        <w:tc>
          <w:tcPr>
            <w:tcW w:w="283" w:type="dxa"/>
            <w:noWrap/>
            <w:vAlign w:val="bottom"/>
          </w:tcPr>
          <w:p w14:paraId="37797952" w14:textId="77777777" w:rsidR="00CC7D36" w:rsidRPr="00CA4A72" w:rsidRDefault="00CC7D36" w:rsidP="00CC7D36">
            <w:pPr>
              <w:spacing w:line="276" w:lineRule="auto"/>
              <w:ind w:firstLineChars="100" w:firstLine="140"/>
              <w:rPr>
                <w:rFonts w:asciiTheme="minorHAnsi" w:eastAsia="Times New Roman" w:hAnsiTheme="minorHAnsi" w:cstheme="minorHAnsi"/>
                <w:sz w:val="14"/>
                <w:szCs w:val="14"/>
                <w:lang w:eastAsia="en-GB"/>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4A300047"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958.8</w:t>
            </w:r>
          </w:p>
        </w:tc>
        <w:tc>
          <w:tcPr>
            <w:tcW w:w="850" w:type="dxa"/>
            <w:tcBorders>
              <w:top w:val="nil"/>
              <w:left w:val="single" w:sz="4" w:space="0" w:color="auto"/>
              <w:bottom w:val="single" w:sz="4" w:space="0" w:color="auto"/>
              <w:right w:val="single" w:sz="4" w:space="0" w:color="auto"/>
            </w:tcBorders>
            <w:shd w:val="clear" w:color="auto" w:fill="auto"/>
            <w:vAlign w:val="center"/>
          </w:tcPr>
          <w:p w14:paraId="2E877431"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847.4</w:t>
            </w:r>
          </w:p>
        </w:tc>
        <w:tc>
          <w:tcPr>
            <w:tcW w:w="851" w:type="dxa"/>
            <w:tcBorders>
              <w:top w:val="nil"/>
              <w:left w:val="nil"/>
              <w:bottom w:val="single" w:sz="4" w:space="0" w:color="auto"/>
              <w:right w:val="single" w:sz="4" w:space="0" w:color="auto"/>
            </w:tcBorders>
            <w:shd w:val="clear" w:color="auto" w:fill="auto"/>
            <w:vAlign w:val="center"/>
          </w:tcPr>
          <w:p w14:paraId="1D8151D2"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13%</w:t>
            </w:r>
          </w:p>
        </w:tc>
        <w:tc>
          <w:tcPr>
            <w:tcW w:w="850" w:type="dxa"/>
            <w:tcBorders>
              <w:top w:val="nil"/>
              <w:left w:val="nil"/>
              <w:bottom w:val="single" w:sz="4" w:space="0" w:color="auto"/>
              <w:right w:val="single" w:sz="4" w:space="0" w:color="auto"/>
            </w:tcBorders>
            <w:shd w:val="clear" w:color="auto" w:fill="auto"/>
            <w:vAlign w:val="center"/>
          </w:tcPr>
          <w:p w14:paraId="052CACD9"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r w:rsidRPr="00702A32">
              <w:rPr>
                <w:rFonts w:asciiTheme="minorHAnsi" w:hAnsiTheme="minorHAnsi" w:cstheme="minorHAnsi"/>
                <w:color w:val="000000"/>
                <w:sz w:val="14"/>
                <w:szCs w:val="14"/>
              </w:rPr>
              <w:t>12%</w:t>
            </w:r>
          </w:p>
        </w:tc>
        <w:tc>
          <w:tcPr>
            <w:tcW w:w="284" w:type="dxa"/>
            <w:noWrap/>
            <w:vAlign w:val="center"/>
          </w:tcPr>
          <w:p w14:paraId="1DEFC638"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12940D77"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960.5</w:t>
            </w:r>
          </w:p>
        </w:tc>
        <w:tc>
          <w:tcPr>
            <w:tcW w:w="851" w:type="dxa"/>
            <w:tcBorders>
              <w:top w:val="nil"/>
              <w:left w:val="single" w:sz="4" w:space="0" w:color="auto"/>
              <w:bottom w:val="single" w:sz="4" w:space="0" w:color="auto"/>
              <w:right w:val="single" w:sz="4" w:space="0" w:color="auto"/>
            </w:tcBorders>
            <w:shd w:val="clear" w:color="auto" w:fill="auto"/>
            <w:vAlign w:val="center"/>
          </w:tcPr>
          <w:p w14:paraId="54D54DC5"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851.0</w:t>
            </w:r>
          </w:p>
        </w:tc>
        <w:tc>
          <w:tcPr>
            <w:tcW w:w="850" w:type="dxa"/>
            <w:tcBorders>
              <w:top w:val="nil"/>
              <w:left w:val="nil"/>
              <w:bottom w:val="single" w:sz="4" w:space="0" w:color="auto"/>
              <w:right w:val="single" w:sz="4" w:space="0" w:color="auto"/>
            </w:tcBorders>
            <w:shd w:val="clear" w:color="auto" w:fill="auto"/>
            <w:vAlign w:val="center"/>
          </w:tcPr>
          <w:p w14:paraId="1615599B"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13%</w:t>
            </w:r>
          </w:p>
        </w:tc>
        <w:tc>
          <w:tcPr>
            <w:tcW w:w="851" w:type="dxa"/>
            <w:tcBorders>
              <w:top w:val="nil"/>
              <w:left w:val="nil"/>
              <w:bottom w:val="single" w:sz="4" w:space="0" w:color="auto"/>
              <w:right w:val="single" w:sz="4" w:space="0" w:color="auto"/>
            </w:tcBorders>
            <w:shd w:val="clear" w:color="auto" w:fill="auto"/>
            <w:vAlign w:val="center"/>
          </w:tcPr>
          <w:p w14:paraId="4C1B5D62"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r w:rsidRPr="00702A32">
              <w:rPr>
                <w:rFonts w:asciiTheme="minorHAnsi" w:hAnsiTheme="minorHAnsi" w:cstheme="minorHAnsi"/>
                <w:color w:val="000000"/>
                <w:sz w:val="14"/>
                <w:szCs w:val="14"/>
              </w:rPr>
              <w:t>12%</w:t>
            </w:r>
          </w:p>
        </w:tc>
      </w:tr>
      <w:tr w:rsidR="00CC7D36" w:rsidRPr="00CA4A72" w14:paraId="36461F13" w14:textId="77777777" w:rsidTr="00CC7D36">
        <w:trPr>
          <w:trHeight w:val="227"/>
        </w:trPr>
        <w:tc>
          <w:tcPr>
            <w:tcW w:w="1980" w:type="dxa"/>
            <w:tcBorders>
              <w:top w:val="nil"/>
              <w:left w:val="single" w:sz="4" w:space="0" w:color="auto"/>
              <w:bottom w:val="single" w:sz="4" w:space="0" w:color="auto"/>
              <w:right w:val="single" w:sz="4" w:space="0" w:color="auto"/>
            </w:tcBorders>
            <w:vAlign w:val="center"/>
          </w:tcPr>
          <w:p w14:paraId="642638E0" w14:textId="77777777" w:rsidR="00CC7D36" w:rsidRPr="00CA4A72" w:rsidRDefault="00CC7D36" w:rsidP="00CC7D36">
            <w:pPr>
              <w:spacing w:line="276" w:lineRule="auto"/>
              <w:rPr>
                <w:rFonts w:asciiTheme="minorHAnsi" w:hAnsiTheme="minorHAnsi" w:cstheme="minorHAnsi"/>
                <w:sz w:val="14"/>
                <w:szCs w:val="14"/>
              </w:rPr>
            </w:pPr>
            <w:r w:rsidRPr="00CA4A72">
              <w:rPr>
                <w:rFonts w:asciiTheme="minorHAnsi" w:hAnsiTheme="minorHAnsi" w:cstheme="minorHAnsi"/>
                <w:sz w:val="14"/>
                <w:szCs w:val="14"/>
              </w:rPr>
              <w:t>Services Revenue</w:t>
            </w:r>
          </w:p>
        </w:tc>
        <w:tc>
          <w:tcPr>
            <w:tcW w:w="283" w:type="dxa"/>
            <w:noWrap/>
            <w:vAlign w:val="bottom"/>
          </w:tcPr>
          <w:p w14:paraId="2960C982" w14:textId="77777777" w:rsidR="00CC7D36" w:rsidRPr="00CA4A72" w:rsidRDefault="00CC7D36" w:rsidP="00CC7D36">
            <w:pPr>
              <w:spacing w:line="276" w:lineRule="auto"/>
              <w:ind w:firstLineChars="100" w:firstLine="140"/>
              <w:rPr>
                <w:rFonts w:asciiTheme="minorHAnsi" w:eastAsia="Times New Roman" w:hAnsiTheme="minorHAnsi" w:cstheme="minorHAnsi"/>
                <w:sz w:val="14"/>
                <w:szCs w:val="14"/>
                <w:lang w:eastAsia="en-GB"/>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011F5BCB"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109.9</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2B112CE0"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114.0</w:t>
            </w:r>
          </w:p>
        </w:tc>
        <w:tc>
          <w:tcPr>
            <w:tcW w:w="851" w:type="dxa"/>
            <w:tcBorders>
              <w:top w:val="nil"/>
              <w:left w:val="nil"/>
              <w:bottom w:val="single" w:sz="4" w:space="0" w:color="auto"/>
              <w:right w:val="single" w:sz="4" w:space="0" w:color="auto"/>
            </w:tcBorders>
            <w:shd w:val="clear" w:color="auto" w:fill="auto"/>
            <w:vAlign w:val="center"/>
          </w:tcPr>
          <w:p w14:paraId="4CF354B5"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(4)%</w:t>
            </w:r>
          </w:p>
        </w:tc>
        <w:tc>
          <w:tcPr>
            <w:tcW w:w="850" w:type="dxa"/>
            <w:tcBorders>
              <w:top w:val="nil"/>
              <w:left w:val="nil"/>
              <w:bottom w:val="single" w:sz="4" w:space="0" w:color="auto"/>
              <w:right w:val="single" w:sz="4" w:space="0" w:color="auto"/>
            </w:tcBorders>
            <w:shd w:val="clear" w:color="auto" w:fill="auto"/>
            <w:vAlign w:val="center"/>
          </w:tcPr>
          <w:p w14:paraId="2E058619"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r w:rsidRPr="00702A32">
              <w:rPr>
                <w:rFonts w:asciiTheme="minorHAnsi" w:hAnsiTheme="minorHAnsi" w:cstheme="minorHAnsi"/>
                <w:color w:val="000000"/>
                <w:sz w:val="14"/>
                <w:szCs w:val="14"/>
              </w:rPr>
              <w:t>(4)%</w:t>
            </w:r>
          </w:p>
        </w:tc>
        <w:tc>
          <w:tcPr>
            <w:tcW w:w="284" w:type="dxa"/>
            <w:noWrap/>
            <w:vAlign w:val="center"/>
          </w:tcPr>
          <w:p w14:paraId="24F64340"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167EC3BF"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110.1</w:t>
            </w:r>
          </w:p>
        </w:tc>
        <w:tc>
          <w:tcPr>
            <w:tcW w:w="851" w:type="dxa"/>
            <w:tcBorders>
              <w:top w:val="nil"/>
              <w:left w:val="single" w:sz="4" w:space="0" w:color="auto"/>
              <w:bottom w:val="single" w:sz="4" w:space="0" w:color="auto"/>
              <w:right w:val="single" w:sz="4" w:space="0" w:color="auto"/>
            </w:tcBorders>
            <w:shd w:val="clear" w:color="auto" w:fill="auto"/>
            <w:vAlign w:val="center"/>
          </w:tcPr>
          <w:p w14:paraId="18283388"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114.4</w:t>
            </w:r>
          </w:p>
        </w:tc>
        <w:tc>
          <w:tcPr>
            <w:tcW w:w="850" w:type="dxa"/>
            <w:tcBorders>
              <w:top w:val="nil"/>
              <w:left w:val="nil"/>
              <w:bottom w:val="single" w:sz="4" w:space="0" w:color="auto"/>
              <w:right w:val="single" w:sz="4" w:space="0" w:color="auto"/>
            </w:tcBorders>
            <w:shd w:val="clear" w:color="auto" w:fill="auto"/>
            <w:vAlign w:val="center"/>
          </w:tcPr>
          <w:p w14:paraId="594DA446"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(4)%</w:t>
            </w:r>
          </w:p>
        </w:tc>
        <w:tc>
          <w:tcPr>
            <w:tcW w:w="851" w:type="dxa"/>
            <w:tcBorders>
              <w:top w:val="nil"/>
              <w:left w:val="nil"/>
              <w:bottom w:val="single" w:sz="4" w:space="0" w:color="auto"/>
              <w:right w:val="single" w:sz="4" w:space="0" w:color="auto"/>
            </w:tcBorders>
            <w:shd w:val="clear" w:color="auto" w:fill="auto"/>
            <w:vAlign w:val="center"/>
          </w:tcPr>
          <w:p w14:paraId="12A3F04B"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r w:rsidRPr="00702A32">
              <w:rPr>
                <w:rFonts w:asciiTheme="minorHAnsi" w:hAnsiTheme="minorHAnsi" w:cstheme="minorHAnsi"/>
                <w:color w:val="000000"/>
                <w:sz w:val="14"/>
                <w:szCs w:val="14"/>
              </w:rPr>
              <w:t>(5)%</w:t>
            </w:r>
          </w:p>
        </w:tc>
      </w:tr>
      <w:tr w:rsidR="00CC7D36" w:rsidRPr="00CA4A72" w14:paraId="277C8EF6" w14:textId="77777777" w:rsidTr="00CC7D36">
        <w:trPr>
          <w:trHeight w:val="227"/>
        </w:trPr>
        <w:tc>
          <w:tcPr>
            <w:tcW w:w="1980" w:type="dxa"/>
            <w:tcBorders>
              <w:top w:val="nil"/>
              <w:left w:val="single" w:sz="4" w:space="0" w:color="auto"/>
              <w:bottom w:val="single" w:sz="4" w:space="0" w:color="auto"/>
              <w:right w:val="single" w:sz="4" w:space="0" w:color="auto"/>
            </w:tcBorders>
            <w:vAlign w:val="center"/>
            <w:hideMark/>
          </w:tcPr>
          <w:p w14:paraId="3B22EDBA" w14:textId="77777777" w:rsidR="00CC7D36" w:rsidRPr="00CA4A72" w:rsidRDefault="00CC7D36" w:rsidP="00CC7D36">
            <w:pPr>
              <w:spacing w:line="276" w:lineRule="auto"/>
              <w:rPr>
                <w:rFonts w:asciiTheme="minorHAnsi" w:eastAsia="Times New Roman" w:hAnsiTheme="minorHAnsi" w:cstheme="minorHAnsi"/>
                <w:sz w:val="14"/>
                <w:szCs w:val="14"/>
                <w:lang w:eastAsia="en-GB"/>
              </w:rPr>
            </w:pPr>
            <w:r w:rsidRPr="00CA4A72">
              <w:rPr>
                <w:rFonts w:asciiTheme="minorHAnsi" w:hAnsiTheme="minorHAnsi" w:cstheme="minorHAnsi"/>
                <w:sz w:val="14"/>
                <w:szCs w:val="14"/>
              </w:rPr>
              <w:t>Operating Margin</w:t>
            </w:r>
          </w:p>
        </w:tc>
        <w:tc>
          <w:tcPr>
            <w:tcW w:w="283" w:type="dxa"/>
            <w:noWrap/>
            <w:vAlign w:val="bottom"/>
          </w:tcPr>
          <w:p w14:paraId="4606B988" w14:textId="77777777" w:rsidR="00CC7D36" w:rsidRPr="00CA4A72" w:rsidRDefault="00CC7D36" w:rsidP="00CC7D36">
            <w:pPr>
              <w:spacing w:line="276" w:lineRule="auto"/>
              <w:ind w:firstLineChars="100" w:firstLine="140"/>
              <w:rPr>
                <w:rFonts w:asciiTheme="minorHAnsi" w:eastAsia="Times New Roman" w:hAnsiTheme="minorHAnsi" w:cstheme="minorHAnsi"/>
                <w:sz w:val="14"/>
                <w:szCs w:val="14"/>
                <w:lang w:eastAsia="en-GB"/>
              </w:rPr>
            </w:pPr>
          </w:p>
        </w:tc>
        <w:tc>
          <w:tcPr>
            <w:tcW w:w="851" w:type="dxa"/>
            <w:tcBorders>
              <w:top w:val="nil"/>
              <w:left w:val="single" w:sz="4" w:space="0" w:color="auto"/>
              <w:bottom w:val="single" w:sz="4" w:space="0" w:color="auto"/>
              <w:right w:val="single" w:sz="4" w:space="0" w:color="auto"/>
            </w:tcBorders>
            <w:shd w:val="clear" w:color="000000" w:fill="FFFFFF"/>
            <w:vAlign w:val="center"/>
          </w:tcPr>
          <w:p w14:paraId="0B0882C2"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10.4%</w:t>
            </w:r>
          </w:p>
        </w:tc>
        <w:tc>
          <w:tcPr>
            <w:tcW w:w="850" w:type="dxa"/>
            <w:tcBorders>
              <w:top w:val="nil"/>
              <w:left w:val="single" w:sz="4" w:space="0" w:color="auto"/>
              <w:bottom w:val="single" w:sz="4" w:space="0" w:color="auto"/>
              <w:right w:val="single" w:sz="4" w:space="0" w:color="auto"/>
            </w:tcBorders>
            <w:shd w:val="clear" w:color="auto" w:fill="auto"/>
            <w:vAlign w:val="center"/>
          </w:tcPr>
          <w:p w14:paraId="608CF29D"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18.9%</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1A445C56"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(8.6)pts</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4B9706EA" w14:textId="77777777" w:rsidR="00CC7D36" w:rsidRPr="00702A32" w:rsidRDefault="00CC7D36" w:rsidP="00CC7D36">
            <w:pPr>
              <w:spacing w:line="276" w:lineRule="auto"/>
              <w:jc w:val="center"/>
              <w:rPr>
                <w:rFonts w:asciiTheme="minorHAnsi" w:eastAsia="Times New Roman" w:hAnsiTheme="minorHAnsi" w:cstheme="minorHAnsi"/>
                <w:b/>
                <w:bCs/>
                <w:color w:val="005386"/>
                <w:sz w:val="14"/>
                <w:szCs w:val="14"/>
                <w:lang w:eastAsia="en-GB"/>
              </w:rPr>
            </w:pPr>
          </w:p>
        </w:tc>
        <w:tc>
          <w:tcPr>
            <w:tcW w:w="284" w:type="dxa"/>
            <w:noWrap/>
            <w:vAlign w:val="center"/>
          </w:tcPr>
          <w:p w14:paraId="7BF11745" w14:textId="77777777" w:rsidR="00CC7D36" w:rsidRPr="00702A32" w:rsidRDefault="00CC7D36" w:rsidP="00CC7D36">
            <w:pPr>
              <w:spacing w:line="276" w:lineRule="auto"/>
              <w:jc w:val="center"/>
              <w:rPr>
                <w:rFonts w:asciiTheme="minorHAnsi" w:eastAsia="Times New Roman" w:hAnsiTheme="minorHAnsi" w:cstheme="minorHAnsi"/>
                <w:b/>
                <w:bCs/>
                <w:color w:val="005386"/>
                <w:sz w:val="14"/>
                <w:szCs w:val="14"/>
                <w:lang w:eastAsia="en-GB"/>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6B16B138"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26.7%</w:t>
            </w:r>
          </w:p>
        </w:tc>
        <w:tc>
          <w:tcPr>
            <w:tcW w:w="851" w:type="dxa"/>
            <w:tcBorders>
              <w:top w:val="nil"/>
              <w:left w:val="single" w:sz="4" w:space="0" w:color="auto"/>
              <w:bottom w:val="single" w:sz="4" w:space="0" w:color="auto"/>
              <w:right w:val="single" w:sz="4" w:space="0" w:color="auto"/>
            </w:tcBorders>
            <w:shd w:val="clear" w:color="auto" w:fill="auto"/>
            <w:vAlign w:val="center"/>
          </w:tcPr>
          <w:p w14:paraId="6099949F"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30.7%</w:t>
            </w:r>
          </w:p>
        </w:tc>
        <w:tc>
          <w:tcPr>
            <w:tcW w:w="850" w:type="dxa"/>
            <w:tcBorders>
              <w:top w:val="nil"/>
              <w:left w:val="nil"/>
              <w:bottom w:val="single" w:sz="4" w:space="0" w:color="auto"/>
              <w:right w:val="single" w:sz="4" w:space="0" w:color="auto"/>
            </w:tcBorders>
            <w:shd w:val="clear" w:color="000000" w:fill="FFFFFF"/>
            <w:vAlign w:val="center"/>
          </w:tcPr>
          <w:p w14:paraId="7EE78B86"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(3.9)pts</w:t>
            </w:r>
          </w:p>
        </w:tc>
        <w:tc>
          <w:tcPr>
            <w:tcW w:w="851" w:type="dxa"/>
            <w:tcBorders>
              <w:top w:val="nil"/>
              <w:left w:val="nil"/>
              <w:bottom w:val="single" w:sz="4" w:space="0" w:color="auto"/>
              <w:right w:val="single" w:sz="4" w:space="0" w:color="auto"/>
            </w:tcBorders>
            <w:shd w:val="clear" w:color="auto" w:fill="auto"/>
            <w:vAlign w:val="center"/>
          </w:tcPr>
          <w:p w14:paraId="13E085E0"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p>
        </w:tc>
      </w:tr>
      <w:tr w:rsidR="00CC7D36" w:rsidRPr="00CA4A72" w14:paraId="2DFAE86B" w14:textId="77777777" w:rsidTr="00CC7D36">
        <w:trPr>
          <w:trHeight w:val="227"/>
        </w:trPr>
        <w:tc>
          <w:tcPr>
            <w:tcW w:w="1980" w:type="dxa"/>
            <w:tcBorders>
              <w:top w:val="nil"/>
              <w:left w:val="single" w:sz="4" w:space="0" w:color="auto"/>
              <w:bottom w:val="single" w:sz="4" w:space="0" w:color="auto"/>
              <w:right w:val="single" w:sz="4" w:space="0" w:color="auto"/>
            </w:tcBorders>
            <w:vAlign w:val="center"/>
            <w:hideMark/>
          </w:tcPr>
          <w:p w14:paraId="708529C3" w14:textId="77777777" w:rsidR="00CC7D36" w:rsidRPr="00CA4A72" w:rsidRDefault="00CC7D36" w:rsidP="00CC7D36">
            <w:pPr>
              <w:spacing w:line="276" w:lineRule="auto"/>
              <w:rPr>
                <w:rFonts w:asciiTheme="minorHAnsi" w:eastAsia="Times New Roman" w:hAnsiTheme="minorHAnsi" w:cstheme="minorHAnsi"/>
                <w:sz w:val="14"/>
                <w:szCs w:val="14"/>
                <w:lang w:eastAsia="en-GB"/>
              </w:rPr>
            </w:pPr>
            <w:r w:rsidRPr="00CA4A72">
              <w:rPr>
                <w:rFonts w:asciiTheme="minorHAnsi" w:hAnsiTheme="minorHAnsi" w:cstheme="minorHAnsi"/>
                <w:sz w:val="14"/>
                <w:szCs w:val="14"/>
              </w:rPr>
              <w:t>EPS</w:t>
            </w:r>
          </w:p>
        </w:tc>
        <w:tc>
          <w:tcPr>
            <w:tcW w:w="283" w:type="dxa"/>
            <w:noWrap/>
            <w:vAlign w:val="bottom"/>
          </w:tcPr>
          <w:p w14:paraId="3FA01919" w14:textId="77777777" w:rsidR="00CC7D36" w:rsidRPr="00CA4A72" w:rsidRDefault="00CC7D36" w:rsidP="00CC7D36">
            <w:pPr>
              <w:spacing w:line="276" w:lineRule="auto"/>
              <w:ind w:firstLineChars="100" w:firstLine="140"/>
              <w:rPr>
                <w:rFonts w:asciiTheme="minorHAnsi" w:eastAsia="Times New Roman" w:hAnsiTheme="minorHAnsi" w:cstheme="minorHAnsi"/>
                <w:sz w:val="14"/>
                <w:szCs w:val="14"/>
                <w:lang w:eastAsia="en-GB"/>
              </w:rPr>
            </w:pPr>
          </w:p>
        </w:tc>
        <w:tc>
          <w:tcPr>
            <w:tcW w:w="851" w:type="dxa"/>
            <w:tcBorders>
              <w:top w:val="nil"/>
              <w:left w:val="single" w:sz="4" w:space="0" w:color="auto"/>
              <w:bottom w:val="single" w:sz="4" w:space="0" w:color="auto"/>
              <w:right w:val="single" w:sz="4" w:space="0" w:color="auto"/>
            </w:tcBorders>
            <w:shd w:val="clear" w:color="000000" w:fill="FFFFFF"/>
            <w:vAlign w:val="center"/>
          </w:tcPr>
          <w:p w14:paraId="7BEFA646"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0.32</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33CAD599"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0.51</w:t>
            </w:r>
          </w:p>
        </w:tc>
        <w:tc>
          <w:tcPr>
            <w:tcW w:w="851" w:type="dxa"/>
            <w:tcBorders>
              <w:top w:val="nil"/>
              <w:left w:val="nil"/>
              <w:bottom w:val="single" w:sz="4" w:space="0" w:color="auto"/>
              <w:right w:val="single" w:sz="4" w:space="0" w:color="auto"/>
            </w:tcBorders>
            <w:shd w:val="clear" w:color="auto" w:fill="auto"/>
            <w:vAlign w:val="center"/>
          </w:tcPr>
          <w:p w14:paraId="07712654"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(38)%</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1AD80C88"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p>
        </w:tc>
        <w:tc>
          <w:tcPr>
            <w:tcW w:w="284" w:type="dxa"/>
            <w:noWrap/>
            <w:vAlign w:val="center"/>
          </w:tcPr>
          <w:p w14:paraId="6D6570BB"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67A2A008"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0.80</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64E23489"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0.82</w:t>
            </w:r>
          </w:p>
        </w:tc>
        <w:tc>
          <w:tcPr>
            <w:tcW w:w="850" w:type="dxa"/>
            <w:tcBorders>
              <w:top w:val="nil"/>
              <w:left w:val="nil"/>
              <w:bottom w:val="single" w:sz="4" w:space="0" w:color="auto"/>
              <w:right w:val="single" w:sz="4" w:space="0" w:color="auto"/>
            </w:tcBorders>
            <w:shd w:val="clear" w:color="auto" w:fill="auto"/>
            <w:vAlign w:val="center"/>
          </w:tcPr>
          <w:p w14:paraId="55065F9C"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(2)%</w:t>
            </w:r>
          </w:p>
        </w:tc>
        <w:tc>
          <w:tcPr>
            <w:tcW w:w="851" w:type="dxa"/>
            <w:tcBorders>
              <w:top w:val="nil"/>
              <w:left w:val="nil"/>
              <w:bottom w:val="single" w:sz="4" w:space="0" w:color="auto"/>
              <w:right w:val="single" w:sz="4" w:space="0" w:color="auto"/>
            </w:tcBorders>
            <w:shd w:val="clear" w:color="auto" w:fill="auto"/>
            <w:vAlign w:val="center"/>
          </w:tcPr>
          <w:p w14:paraId="708EB677" w14:textId="77777777" w:rsidR="00CC7D36" w:rsidRPr="004255A5" w:rsidRDefault="00CC7D36" w:rsidP="00CC7D36">
            <w:pPr>
              <w:spacing w:line="276" w:lineRule="auto"/>
              <w:jc w:val="center"/>
              <w:rPr>
                <w:rFonts w:asciiTheme="minorHAnsi" w:eastAsia="Times New Roman" w:hAnsiTheme="minorHAnsi" w:cstheme="minorHAnsi"/>
                <w:sz w:val="14"/>
                <w:szCs w:val="14"/>
                <w:lang w:eastAsia="en-GB"/>
              </w:rPr>
            </w:pPr>
            <w:r w:rsidRPr="004255A5">
              <w:rPr>
                <w:rFonts w:asciiTheme="minorHAnsi" w:hAnsiTheme="minorHAnsi" w:cstheme="minorHAnsi"/>
                <w:color w:val="000000"/>
                <w:sz w:val="14"/>
                <w:szCs w:val="14"/>
              </w:rPr>
              <w:t>(3)%</w:t>
            </w:r>
          </w:p>
        </w:tc>
      </w:tr>
    </w:tbl>
    <w:p w14:paraId="5971B516" w14:textId="0DB32E03" w:rsidR="00DF4742" w:rsidRDefault="00DF4742" w:rsidP="00DF4742">
      <w:pPr>
        <w:jc w:val="both"/>
        <w:rPr>
          <w:rFonts w:asciiTheme="minorHAnsi" w:hAnsiTheme="minorHAnsi" w:cstheme="minorHAnsi"/>
          <w:sz w:val="24"/>
          <w:szCs w:val="24"/>
        </w:rPr>
      </w:pPr>
    </w:p>
    <w:tbl>
      <w:tblPr>
        <w:tblW w:w="9351" w:type="dxa"/>
        <w:tblLayout w:type="fixed"/>
        <w:tblLook w:val="04A0" w:firstRow="1" w:lastRow="0" w:firstColumn="1" w:lastColumn="0" w:noHBand="0" w:noVBand="1"/>
      </w:tblPr>
      <w:tblGrid>
        <w:gridCol w:w="1980"/>
        <w:gridCol w:w="283"/>
        <w:gridCol w:w="851"/>
        <w:gridCol w:w="850"/>
        <w:gridCol w:w="851"/>
        <w:gridCol w:w="850"/>
        <w:gridCol w:w="284"/>
        <w:gridCol w:w="850"/>
        <w:gridCol w:w="851"/>
        <w:gridCol w:w="850"/>
        <w:gridCol w:w="851"/>
      </w:tblGrid>
      <w:tr w:rsidR="00CC7D36" w:rsidRPr="00CA4A72" w14:paraId="7B543185" w14:textId="77777777" w:rsidTr="00CC7D36">
        <w:trPr>
          <w:trHeight w:val="255"/>
        </w:trPr>
        <w:tc>
          <w:tcPr>
            <w:tcW w:w="1980" w:type="dxa"/>
            <w:vMerge w:val="restart"/>
            <w:tcBorders>
              <w:top w:val="single" w:sz="4" w:space="0" w:color="auto"/>
              <w:left w:val="single" w:sz="4" w:space="0" w:color="auto"/>
              <w:bottom w:val="single" w:sz="4" w:space="0" w:color="000000"/>
              <w:right w:val="single" w:sz="4" w:space="0" w:color="auto"/>
            </w:tcBorders>
            <w:vAlign w:val="center"/>
            <w:hideMark/>
          </w:tcPr>
          <w:p w14:paraId="7A90D8E6" w14:textId="77777777" w:rsidR="00CC7D36" w:rsidRPr="00CA4A72" w:rsidRDefault="00CC7D36" w:rsidP="00CC7D36">
            <w:pPr>
              <w:spacing w:line="276" w:lineRule="auto"/>
              <w:jc w:val="center"/>
              <w:rPr>
                <w:rFonts w:asciiTheme="minorHAnsi" w:eastAsia="Times New Roman" w:hAnsiTheme="minorHAnsi" w:cstheme="minorHAnsi"/>
                <w:sz w:val="14"/>
                <w:szCs w:val="14"/>
                <w:lang w:eastAsia="en-GB"/>
              </w:rPr>
            </w:pPr>
            <w:r w:rsidRPr="00CA4A72">
              <w:rPr>
                <w:rFonts w:asciiTheme="minorHAnsi" w:hAnsiTheme="minorHAnsi" w:cstheme="minorHAnsi"/>
                <w:color w:val="000000"/>
                <w:sz w:val="14"/>
                <w:szCs w:val="14"/>
              </w:rPr>
              <w:t>Total Software Revenue in millions of Euros, except percentages</w:t>
            </w:r>
          </w:p>
        </w:tc>
        <w:tc>
          <w:tcPr>
            <w:tcW w:w="283" w:type="dxa"/>
            <w:noWrap/>
            <w:vAlign w:val="bottom"/>
          </w:tcPr>
          <w:p w14:paraId="21DDF0CF" w14:textId="77777777" w:rsidR="00CC7D36" w:rsidRPr="00CA4A72" w:rsidRDefault="00CC7D36" w:rsidP="00CC7D36">
            <w:pPr>
              <w:spacing w:line="276" w:lineRule="auto"/>
              <w:jc w:val="center"/>
              <w:rPr>
                <w:rFonts w:asciiTheme="minorHAnsi" w:eastAsia="Times New Roman" w:hAnsiTheme="minorHAnsi" w:cstheme="minorHAnsi"/>
                <w:sz w:val="14"/>
                <w:szCs w:val="14"/>
                <w:lang w:eastAsia="en-GB"/>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A6BF569"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eastAsia="Times New Roman" w:hAnsiTheme="minorHAnsi" w:cstheme="minorHAnsi"/>
                <w:b/>
                <w:bCs/>
                <w:sz w:val="14"/>
                <w:szCs w:val="14"/>
                <w:lang w:eastAsia="en-GB"/>
              </w:rPr>
              <w:t xml:space="preserve">IFRS </w:t>
            </w:r>
          </w:p>
        </w:tc>
        <w:tc>
          <w:tcPr>
            <w:tcW w:w="284" w:type="dxa"/>
            <w:noWrap/>
            <w:vAlign w:val="bottom"/>
          </w:tcPr>
          <w:p w14:paraId="7AB2B088"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42B471F"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eastAsia="Times New Roman" w:hAnsiTheme="minorHAnsi" w:cstheme="minorHAnsi"/>
                <w:b/>
                <w:bCs/>
                <w:sz w:val="14"/>
                <w:szCs w:val="14"/>
                <w:lang w:eastAsia="en-GB"/>
              </w:rPr>
              <w:t>Non-IFRS</w:t>
            </w:r>
          </w:p>
        </w:tc>
      </w:tr>
      <w:tr w:rsidR="00CC7D36" w:rsidRPr="00CA4A72" w14:paraId="7CB0EB88" w14:textId="77777777" w:rsidTr="00CC7D36">
        <w:trPr>
          <w:trHeight w:val="420"/>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67FCC389" w14:textId="77777777" w:rsidR="00CC7D36" w:rsidRPr="00CA4A72" w:rsidRDefault="00CC7D36" w:rsidP="00CC7D36">
            <w:pPr>
              <w:spacing w:line="276" w:lineRule="auto"/>
              <w:rPr>
                <w:rFonts w:asciiTheme="minorHAnsi" w:eastAsia="Times New Roman" w:hAnsiTheme="minorHAnsi" w:cstheme="minorHAnsi"/>
                <w:sz w:val="14"/>
                <w:szCs w:val="14"/>
                <w:lang w:eastAsia="en-GB"/>
              </w:rPr>
            </w:pPr>
          </w:p>
        </w:tc>
        <w:tc>
          <w:tcPr>
            <w:tcW w:w="283" w:type="dxa"/>
            <w:noWrap/>
            <w:vAlign w:val="bottom"/>
          </w:tcPr>
          <w:p w14:paraId="66E6414C"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3FB58" w14:textId="77777777" w:rsidR="00CC7D36" w:rsidRPr="00CA4A72" w:rsidRDefault="00CC7D36" w:rsidP="00CC7D36">
            <w:pPr>
              <w:spacing w:line="276" w:lineRule="auto"/>
              <w:jc w:val="center"/>
              <w:rPr>
                <w:rFonts w:asciiTheme="minorHAnsi" w:eastAsia="Times New Roman" w:hAnsiTheme="minorHAnsi" w:cstheme="minorHAnsi"/>
                <w:b/>
                <w:bCs/>
                <w:sz w:val="14"/>
                <w:szCs w:val="14"/>
                <w:highlight w:val="green"/>
                <w:lang w:eastAsia="en-GB"/>
              </w:rPr>
            </w:pPr>
            <w:r w:rsidRPr="0038336B">
              <w:rPr>
                <w:rFonts w:asciiTheme="minorHAnsi" w:hAnsiTheme="minorHAnsi" w:cstheme="minorHAnsi"/>
                <w:b/>
                <w:bCs/>
                <w:sz w:val="14"/>
                <w:szCs w:val="14"/>
              </w:rPr>
              <w:t>Q2 2020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AE26AD" w14:textId="77777777" w:rsidR="00CC7D36" w:rsidRPr="00CA4A72" w:rsidRDefault="00CC7D36" w:rsidP="00CC7D36">
            <w:pPr>
              <w:spacing w:line="276" w:lineRule="auto"/>
              <w:jc w:val="center"/>
              <w:rPr>
                <w:rFonts w:asciiTheme="minorHAnsi" w:eastAsia="Times New Roman" w:hAnsiTheme="minorHAnsi" w:cstheme="minorHAnsi"/>
                <w:b/>
                <w:bCs/>
                <w:sz w:val="14"/>
                <w:szCs w:val="14"/>
                <w:highlight w:val="green"/>
                <w:lang w:eastAsia="en-GB"/>
              </w:rPr>
            </w:pPr>
            <w:r w:rsidRPr="0038336B">
              <w:rPr>
                <w:rFonts w:asciiTheme="minorHAnsi" w:hAnsiTheme="minorHAnsi" w:cstheme="minorHAnsi"/>
                <w:b/>
                <w:bCs/>
                <w:sz w:val="14"/>
                <w:szCs w:val="16"/>
              </w:rPr>
              <w:t>Q2 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C0E8E2B"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hAnsiTheme="minorHAnsi" w:cstheme="minorHAnsi"/>
                <w:b/>
                <w:bCs/>
                <w:sz w:val="14"/>
                <w:szCs w:val="14"/>
              </w:rPr>
              <w:t>Change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570E0DC"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Pr>
                <w:rFonts w:asciiTheme="minorHAnsi" w:hAnsiTheme="minorHAnsi" w:cstheme="minorHAnsi"/>
                <w:b/>
                <w:bCs/>
                <w:sz w:val="14"/>
                <w:szCs w:val="14"/>
              </w:rPr>
              <w:t xml:space="preserve">Change in </w:t>
            </w:r>
            <w:r w:rsidRPr="00F940FF">
              <w:rPr>
                <w:rFonts w:asciiTheme="minorHAnsi" w:hAnsiTheme="minorHAnsi" w:cstheme="minorHAnsi"/>
                <w:b/>
                <w:bCs/>
                <w:sz w:val="14"/>
                <w:szCs w:val="14"/>
              </w:rPr>
              <w:t>constant currencies</w:t>
            </w:r>
          </w:p>
        </w:tc>
        <w:tc>
          <w:tcPr>
            <w:tcW w:w="284" w:type="dxa"/>
            <w:noWrap/>
            <w:vAlign w:val="bottom"/>
          </w:tcPr>
          <w:p w14:paraId="166F3E94"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06166" w14:textId="77777777" w:rsidR="00CC7D36" w:rsidRPr="00CA4A72" w:rsidRDefault="00CC7D36" w:rsidP="00CC7D36">
            <w:pPr>
              <w:spacing w:line="276" w:lineRule="auto"/>
              <w:jc w:val="center"/>
              <w:rPr>
                <w:rFonts w:asciiTheme="minorHAnsi" w:eastAsia="Times New Roman" w:hAnsiTheme="minorHAnsi" w:cstheme="minorHAnsi"/>
                <w:b/>
                <w:bCs/>
                <w:sz w:val="14"/>
                <w:szCs w:val="14"/>
                <w:highlight w:val="green"/>
                <w:lang w:eastAsia="en-GB"/>
              </w:rPr>
            </w:pPr>
            <w:r w:rsidRPr="0038336B">
              <w:rPr>
                <w:rFonts w:asciiTheme="minorHAnsi" w:hAnsiTheme="minorHAnsi" w:cstheme="minorHAnsi"/>
                <w:b/>
                <w:bCs/>
                <w:sz w:val="14"/>
                <w:szCs w:val="14"/>
              </w:rPr>
              <w:t>Q2 2020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23655149" w14:textId="77777777" w:rsidR="00CC7D36" w:rsidRPr="00CA4A72" w:rsidRDefault="00CC7D36" w:rsidP="00CC7D36">
            <w:pPr>
              <w:spacing w:line="276" w:lineRule="auto"/>
              <w:jc w:val="center"/>
              <w:rPr>
                <w:rFonts w:asciiTheme="minorHAnsi" w:eastAsia="Times New Roman" w:hAnsiTheme="minorHAnsi" w:cstheme="minorHAnsi"/>
                <w:b/>
                <w:bCs/>
                <w:sz w:val="14"/>
                <w:szCs w:val="14"/>
                <w:highlight w:val="green"/>
                <w:lang w:eastAsia="en-GB"/>
              </w:rPr>
            </w:pPr>
            <w:r w:rsidRPr="0038336B">
              <w:rPr>
                <w:rFonts w:asciiTheme="minorHAnsi" w:hAnsiTheme="minorHAnsi" w:cstheme="minorHAnsi"/>
                <w:b/>
                <w:bCs/>
                <w:sz w:val="14"/>
                <w:szCs w:val="16"/>
              </w:rPr>
              <w:t>Q2 2019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0EC1F16"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hAnsiTheme="minorHAnsi" w:cstheme="minorHAnsi"/>
                <w:b/>
                <w:bCs/>
                <w:sz w:val="14"/>
                <w:szCs w:val="14"/>
              </w:rPr>
              <w:t>Change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D713FFE"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Pr>
                <w:rFonts w:asciiTheme="minorHAnsi" w:hAnsiTheme="minorHAnsi" w:cstheme="minorHAnsi"/>
                <w:b/>
                <w:bCs/>
                <w:sz w:val="14"/>
                <w:szCs w:val="14"/>
              </w:rPr>
              <w:t xml:space="preserve">Change in </w:t>
            </w:r>
            <w:r w:rsidRPr="00F940FF">
              <w:rPr>
                <w:rFonts w:asciiTheme="minorHAnsi" w:hAnsiTheme="minorHAnsi" w:cstheme="minorHAnsi"/>
                <w:b/>
                <w:bCs/>
                <w:sz w:val="14"/>
                <w:szCs w:val="14"/>
              </w:rPr>
              <w:t>constant currencies</w:t>
            </w:r>
          </w:p>
        </w:tc>
      </w:tr>
      <w:tr w:rsidR="00CC7D36" w:rsidRPr="00CA4A72" w14:paraId="39382841" w14:textId="77777777" w:rsidTr="00CC7D36">
        <w:trPr>
          <w:trHeight w:val="227"/>
        </w:trPr>
        <w:tc>
          <w:tcPr>
            <w:tcW w:w="1980" w:type="dxa"/>
            <w:tcBorders>
              <w:top w:val="single" w:sz="4" w:space="0" w:color="auto"/>
              <w:left w:val="single" w:sz="4" w:space="0" w:color="auto"/>
              <w:bottom w:val="single" w:sz="4" w:space="0" w:color="auto"/>
              <w:right w:val="single" w:sz="4" w:space="0" w:color="auto"/>
            </w:tcBorders>
            <w:vAlign w:val="center"/>
            <w:hideMark/>
          </w:tcPr>
          <w:p w14:paraId="2A48BA51" w14:textId="77777777" w:rsidR="00CC7D36" w:rsidRPr="00CA4A72" w:rsidRDefault="00CC7D36" w:rsidP="00CC7D36">
            <w:pPr>
              <w:spacing w:line="276" w:lineRule="auto"/>
              <w:rPr>
                <w:rFonts w:asciiTheme="minorHAnsi" w:eastAsia="Times New Roman" w:hAnsiTheme="minorHAnsi" w:cstheme="minorHAnsi"/>
                <w:sz w:val="14"/>
                <w:szCs w:val="14"/>
                <w:lang w:eastAsia="en-GB"/>
              </w:rPr>
            </w:pPr>
            <w:r w:rsidRPr="00CA4A72">
              <w:rPr>
                <w:rFonts w:asciiTheme="minorHAnsi" w:hAnsiTheme="minorHAnsi" w:cstheme="minorHAnsi"/>
                <w:color w:val="000000"/>
                <w:sz w:val="14"/>
                <w:szCs w:val="14"/>
              </w:rPr>
              <w:t>Americas</w:t>
            </w:r>
          </w:p>
        </w:tc>
        <w:tc>
          <w:tcPr>
            <w:tcW w:w="283" w:type="dxa"/>
            <w:noWrap/>
            <w:vAlign w:val="bottom"/>
          </w:tcPr>
          <w:p w14:paraId="43207D48" w14:textId="77777777" w:rsidR="00CC7D36" w:rsidRPr="00CA4A72" w:rsidRDefault="00CC7D36" w:rsidP="00CC7D36">
            <w:pPr>
              <w:spacing w:line="276" w:lineRule="auto"/>
              <w:ind w:firstLineChars="100" w:firstLine="140"/>
              <w:rPr>
                <w:rFonts w:asciiTheme="minorHAnsi" w:eastAsia="Times New Roman" w:hAnsiTheme="minorHAnsi" w:cstheme="minorHAnsi"/>
                <w:sz w:val="14"/>
                <w:szCs w:val="14"/>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73146A"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364.3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69E2F781"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249.5</w:t>
            </w:r>
          </w:p>
        </w:tc>
        <w:tc>
          <w:tcPr>
            <w:tcW w:w="851" w:type="dxa"/>
            <w:tcBorders>
              <w:top w:val="single" w:sz="4" w:space="0" w:color="auto"/>
              <w:left w:val="nil"/>
              <w:bottom w:val="single" w:sz="4" w:space="0" w:color="auto"/>
              <w:right w:val="single" w:sz="4" w:space="0" w:color="auto"/>
            </w:tcBorders>
            <w:shd w:val="clear" w:color="auto" w:fill="auto"/>
            <w:vAlign w:val="center"/>
          </w:tcPr>
          <w:p w14:paraId="433DF744"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46%</w:t>
            </w:r>
          </w:p>
        </w:tc>
        <w:tc>
          <w:tcPr>
            <w:tcW w:w="850" w:type="dxa"/>
            <w:tcBorders>
              <w:top w:val="single" w:sz="4" w:space="0" w:color="auto"/>
              <w:left w:val="nil"/>
              <w:bottom w:val="single" w:sz="4" w:space="0" w:color="auto"/>
              <w:right w:val="single" w:sz="4" w:space="0" w:color="auto"/>
            </w:tcBorders>
            <w:shd w:val="clear" w:color="auto" w:fill="auto"/>
            <w:vAlign w:val="center"/>
          </w:tcPr>
          <w:p w14:paraId="3B43B8A8"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r w:rsidRPr="00702A32">
              <w:rPr>
                <w:rFonts w:asciiTheme="minorHAnsi" w:hAnsiTheme="minorHAnsi" w:cstheme="minorHAnsi"/>
                <w:color w:val="000000"/>
                <w:sz w:val="14"/>
                <w:szCs w:val="14"/>
              </w:rPr>
              <w:t>44%</w:t>
            </w:r>
          </w:p>
        </w:tc>
        <w:tc>
          <w:tcPr>
            <w:tcW w:w="284" w:type="dxa"/>
            <w:noWrap/>
            <w:vAlign w:val="center"/>
          </w:tcPr>
          <w:p w14:paraId="300FCD6A"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4820D0"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365.9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1FCC71"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252.3</w:t>
            </w:r>
          </w:p>
        </w:tc>
        <w:tc>
          <w:tcPr>
            <w:tcW w:w="850" w:type="dxa"/>
            <w:tcBorders>
              <w:top w:val="single" w:sz="4" w:space="0" w:color="auto"/>
              <w:left w:val="nil"/>
              <w:bottom w:val="single" w:sz="4" w:space="0" w:color="auto"/>
              <w:right w:val="single" w:sz="4" w:space="0" w:color="auto"/>
            </w:tcBorders>
            <w:shd w:val="clear" w:color="auto" w:fill="auto"/>
            <w:vAlign w:val="center"/>
          </w:tcPr>
          <w:p w14:paraId="51F2CEB6"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45%</w:t>
            </w:r>
          </w:p>
        </w:tc>
        <w:tc>
          <w:tcPr>
            <w:tcW w:w="851" w:type="dxa"/>
            <w:tcBorders>
              <w:top w:val="single" w:sz="4" w:space="0" w:color="auto"/>
              <w:left w:val="nil"/>
              <w:bottom w:val="single" w:sz="4" w:space="0" w:color="auto"/>
              <w:right w:val="single" w:sz="4" w:space="0" w:color="auto"/>
            </w:tcBorders>
            <w:shd w:val="clear" w:color="auto" w:fill="auto"/>
            <w:vAlign w:val="center"/>
          </w:tcPr>
          <w:p w14:paraId="6AF0F6C7"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r w:rsidRPr="00702A32">
              <w:rPr>
                <w:rFonts w:asciiTheme="minorHAnsi" w:hAnsiTheme="minorHAnsi" w:cstheme="minorHAnsi"/>
                <w:color w:val="000000"/>
                <w:sz w:val="14"/>
                <w:szCs w:val="14"/>
              </w:rPr>
              <w:t>43%</w:t>
            </w:r>
          </w:p>
        </w:tc>
      </w:tr>
      <w:tr w:rsidR="00CC7D36" w:rsidRPr="00CA4A72" w14:paraId="42751A06" w14:textId="77777777" w:rsidTr="00CC7D36">
        <w:trPr>
          <w:trHeight w:val="227"/>
        </w:trPr>
        <w:tc>
          <w:tcPr>
            <w:tcW w:w="1980" w:type="dxa"/>
            <w:tcBorders>
              <w:top w:val="nil"/>
              <w:left w:val="single" w:sz="4" w:space="0" w:color="auto"/>
              <w:bottom w:val="single" w:sz="4" w:space="0" w:color="auto"/>
              <w:right w:val="single" w:sz="4" w:space="0" w:color="auto"/>
            </w:tcBorders>
            <w:vAlign w:val="center"/>
            <w:hideMark/>
          </w:tcPr>
          <w:p w14:paraId="3A6D181C" w14:textId="77777777" w:rsidR="00CC7D36" w:rsidRPr="00CA4A72" w:rsidRDefault="00CC7D36" w:rsidP="00CC7D36">
            <w:pPr>
              <w:spacing w:line="276" w:lineRule="auto"/>
              <w:rPr>
                <w:rFonts w:asciiTheme="minorHAnsi" w:eastAsia="Times New Roman" w:hAnsiTheme="minorHAnsi" w:cstheme="minorHAnsi"/>
                <w:sz w:val="14"/>
                <w:szCs w:val="14"/>
                <w:lang w:eastAsia="en-GB"/>
              </w:rPr>
            </w:pPr>
            <w:r w:rsidRPr="00CA4A72">
              <w:rPr>
                <w:rFonts w:asciiTheme="minorHAnsi" w:hAnsiTheme="minorHAnsi" w:cstheme="minorHAnsi"/>
                <w:color w:val="000000"/>
                <w:sz w:val="14"/>
                <w:szCs w:val="14"/>
              </w:rPr>
              <w:t>Europe</w:t>
            </w:r>
          </w:p>
        </w:tc>
        <w:tc>
          <w:tcPr>
            <w:tcW w:w="283" w:type="dxa"/>
            <w:noWrap/>
            <w:vAlign w:val="bottom"/>
          </w:tcPr>
          <w:p w14:paraId="0642C37E" w14:textId="77777777" w:rsidR="00CC7D36" w:rsidRPr="00CA4A72" w:rsidRDefault="00CC7D36" w:rsidP="00CC7D36">
            <w:pPr>
              <w:spacing w:line="276" w:lineRule="auto"/>
              <w:ind w:firstLineChars="100" w:firstLine="140"/>
              <w:rPr>
                <w:rFonts w:asciiTheme="minorHAnsi" w:eastAsia="Times New Roman" w:hAnsiTheme="minorHAnsi" w:cstheme="minorHAnsi"/>
                <w:sz w:val="14"/>
                <w:szCs w:val="14"/>
                <w:lang w:eastAsia="en-GB"/>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4A5259AB"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334.8</w:t>
            </w:r>
          </w:p>
        </w:tc>
        <w:tc>
          <w:tcPr>
            <w:tcW w:w="850" w:type="dxa"/>
            <w:tcBorders>
              <w:top w:val="nil"/>
              <w:left w:val="single" w:sz="4" w:space="0" w:color="auto"/>
              <w:bottom w:val="single" w:sz="4" w:space="0" w:color="auto"/>
              <w:right w:val="single" w:sz="4" w:space="0" w:color="auto"/>
            </w:tcBorders>
            <w:shd w:val="clear" w:color="auto" w:fill="auto"/>
            <w:vAlign w:val="center"/>
          </w:tcPr>
          <w:p w14:paraId="5446C4FE"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347.5</w:t>
            </w:r>
          </w:p>
        </w:tc>
        <w:tc>
          <w:tcPr>
            <w:tcW w:w="851" w:type="dxa"/>
            <w:tcBorders>
              <w:top w:val="nil"/>
              <w:left w:val="nil"/>
              <w:bottom w:val="single" w:sz="4" w:space="0" w:color="auto"/>
              <w:right w:val="single" w:sz="4" w:space="0" w:color="auto"/>
            </w:tcBorders>
            <w:shd w:val="clear" w:color="auto" w:fill="auto"/>
            <w:vAlign w:val="center"/>
          </w:tcPr>
          <w:p w14:paraId="3A00363D"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(4)%</w:t>
            </w:r>
          </w:p>
        </w:tc>
        <w:tc>
          <w:tcPr>
            <w:tcW w:w="850" w:type="dxa"/>
            <w:tcBorders>
              <w:top w:val="nil"/>
              <w:left w:val="nil"/>
              <w:bottom w:val="single" w:sz="4" w:space="0" w:color="auto"/>
              <w:right w:val="single" w:sz="4" w:space="0" w:color="auto"/>
            </w:tcBorders>
            <w:shd w:val="clear" w:color="auto" w:fill="auto"/>
            <w:vAlign w:val="center"/>
          </w:tcPr>
          <w:p w14:paraId="352DA691"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r w:rsidRPr="00702A32">
              <w:rPr>
                <w:rFonts w:asciiTheme="minorHAnsi" w:hAnsiTheme="minorHAnsi" w:cstheme="minorHAnsi"/>
                <w:color w:val="000000"/>
                <w:sz w:val="14"/>
                <w:szCs w:val="14"/>
              </w:rPr>
              <w:t>(3)%</w:t>
            </w:r>
          </w:p>
        </w:tc>
        <w:tc>
          <w:tcPr>
            <w:tcW w:w="284" w:type="dxa"/>
            <w:noWrap/>
            <w:vAlign w:val="center"/>
          </w:tcPr>
          <w:p w14:paraId="335BCB70"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63985B75"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334.9</w:t>
            </w:r>
          </w:p>
        </w:tc>
        <w:tc>
          <w:tcPr>
            <w:tcW w:w="851" w:type="dxa"/>
            <w:tcBorders>
              <w:top w:val="nil"/>
              <w:left w:val="single" w:sz="4" w:space="0" w:color="auto"/>
              <w:bottom w:val="single" w:sz="4" w:space="0" w:color="auto"/>
              <w:right w:val="single" w:sz="4" w:space="0" w:color="auto"/>
            </w:tcBorders>
            <w:shd w:val="clear" w:color="auto" w:fill="auto"/>
            <w:vAlign w:val="center"/>
          </w:tcPr>
          <w:p w14:paraId="66F97430"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348.3</w:t>
            </w:r>
          </w:p>
        </w:tc>
        <w:tc>
          <w:tcPr>
            <w:tcW w:w="850" w:type="dxa"/>
            <w:tcBorders>
              <w:top w:val="nil"/>
              <w:left w:val="nil"/>
              <w:bottom w:val="single" w:sz="4" w:space="0" w:color="auto"/>
              <w:right w:val="single" w:sz="4" w:space="0" w:color="auto"/>
            </w:tcBorders>
            <w:shd w:val="clear" w:color="auto" w:fill="auto"/>
            <w:vAlign w:val="center"/>
          </w:tcPr>
          <w:p w14:paraId="0AEB49BB"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(4)%</w:t>
            </w:r>
          </w:p>
        </w:tc>
        <w:tc>
          <w:tcPr>
            <w:tcW w:w="851" w:type="dxa"/>
            <w:tcBorders>
              <w:top w:val="nil"/>
              <w:left w:val="nil"/>
              <w:bottom w:val="single" w:sz="4" w:space="0" w:color="auto"/>
              <w:right w:val="single" w:sz="4" w:space="0" w:color="auto"/>
            </w:tcBorders>
            <w:shd w:val="clear" w:color="auto" w:fill="auto"/>
            <w:vAlign w:val="center"/>
          </w:tcPr>
          <w:p w14:paraId="7F783ACF"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r w:rsidRPr="00702A32">
              <w:rPr>
                <w:rFonts w:asciiTheme="minorHAnsi" w:hAnsiTheme="minorHAnsi" w:cstheme="minorHAnsi"/>
                <w:color w:val="000000"/>
                <w:sz w:val="14"/>
                <w:szCs w:val="14"/>
              </w:rPr>
              <w:t>(4)%</w:t>
            </w:r>
          </w:p>
        </w:tc>
      </w:tr>
      <w:tr w:rsidR="00CC7D36" w:rsidRPr="00CA4A72" w14:paraId="4BF8D044" w14:textId="77777777" w:rsidTr="00CC7D36">
        <w:trPr>
          <w:trHeight w:val="227"/>
        </w:trPr>
        <w:tc>
          <w:tcPr>
            <w:tcW w:w="1980" w:type="dxa"/>
            <w:tcBorders>
              <w:top w:val="nil"/>
              <w:left w:val="single" w:sz="4" w:space="0" w:color="auto"/>
              <w:bottom w:val="single" w:sz="4" w:space="0" w:color="auto"/>
              <w:right w:val="single" w:sz="4" w:space="0" w:color="auto"/>
            </w:tcBorders>
            <w:vAlign w:val="center"/>
            <w:hideMark/>
          </w:tcPr>
          <w:p w14:paraId="217437B7" w14:textId="77777777" w:rsidR="00CC7D36" w:rsidRPr="00CA4A72" w:rsidRDefault="00CC7D36" w:rsidP="00CC7D36">
            <w:pPr>
              <w:spacing w:line="276" w:lineRule="auto"/>
              <w:rPr>
                <w:rFonts w:asciiTheme="minorHAnsi" w:eastAsia="Times New Roman" w:hAnsiTheme="minorHAnsi" w:cstheme="minorHAnsi"/>
                <w:sz w:val="14"/>
                <w:szCs w:val="14"/>
                <w:lang w:eastAsia="en-GB"/>
              </w:rPr>
            </w:pPr>
            <w:r w:rsidRPr="00CA4A72">
              <w:rPr>
                <w:rFonts w:asciiTheme="minorHAnsi" w:hAnsiTheme="minorHAnsi" w:cstheme="minorHAnsi"/>
                <w:color w:val="000000"/>
                <w:sz w:val="14"/>
                <w:szCs w:val="14"/>
              </w:rPr>
              <w:t>Asia</w:t>
            </w:r>
          </w:p>
        </w:tc>
        <w:tc>
          <w:tcPr>
            <w:tcW w:w="283" w:type="dxa"/>
            <w:noWrap/>
            <w:vAlign w:val="bottom"/>
          </w:tcPr>
          <w:p w14:paraId="028A31AA" w14:textId="77777777" w:rsidR="00CC7D36" w:rsidRPr="00CA4A72" w:rsidRDefault="00CC7D36" w:rsidP="00CC7D36">
            <w:pPr>
              <w:spacing w:line="276" w:lineRule="auto"/>
              <w:ind w:firstLineChars="100" w:firstLine="140"/>
              <w:rPr>
                <w:rFonts w:asciiTheme="minorHAnsi" w:eastAsia="Times New Roman" w:hAnsiTheme="minorHAnsi" w:cstheme="minorHAnsi"/>
                <w:sz w:val="14"/>
                <w:szCs w:val="14"/>
                <w:lang w:eastAsia="en-GB"/>
              </w:rPr>
            </w:pPr>
          </w:p>
        </w:tc>
        <w:tc>
          <w:tcPr>
            <w:tcW w:w="851" w:type="dxa"/>
            <w:tcBorders>
              <w:top w:val="nil"/>
              <w:left w:val="single" w:sz="4" w:space="0" w:color="auto"/>
              <w:bottom w:val="single" w:sz="4" w:space="0" w:color="auto"/>
              <w:right w:val="single" w:sz="4" w:space="0" w:color="auto"/>
            </w:tcBorders>
            <w:shd w:val="clear" w:color="000000" w:fill="FFFFFF"/>
            <w:vAlign w:val="center"/>
          </w:tcPr>
          <w:p w14:paraId="0A9FF37E"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259.7</w:t>
            </w:r>
          </w:p>
        </w:tc>
        <w:tc>
          <w:tcPr>
            <w:tcW w:w="850" w:type="dxa"/>
            <w:tcBorders>
              <w:top w:val="nil"/>
              <w:left w:val="single" w:sz="4" w:space="0" w:color="auto"/>
              <w:bottom w:val="single" w:sz="4" w:space="0" w:color="auto"/>
              <w:right w:val="single" w:sz="4" w:space="0" w:color="auto"/>
            </w:tcBorders>
            <w:shd w:val="clear" w:color="auto" w:fill="auto"/>
            <w:vAlign w:val="center"/>
          </w:tcPr>
          <w:p w14:paraId="354CED1D"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250.5</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63312ED1"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4%</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70DDE8D8" w14:textId="77777777" w:rsidR="00CC7D36" w:rsidRPr="00702A32" w:rsidRDefault="00CC7D36" w:rsidP="00CC7D36">
            <w:pPr>
              <w:spacing w:line="276" w:lineRule="auto"/>
              <w:jc w:val="center"/>
              <w:rPr>
                <w:rFonts w:asciiTheme="minorHAnsi" w:eastAsia="Times New Roman" w:hAnsiTheme="minorHAnsi" w:cstheme="minorHAnsi"/>
                <w:b/>
                <w:bCs/>
                <w:color w:val="005386"/>
                <w:sz w:val="14"/>
                <w:szCs w:val="14"/>
                <w:lang w:eastAsia="en-GB"/>
              </w:rPr>
            </w:pPr>
            <w:r w:rsidRPr="00702A32">
              <w:rPr>
                <w:rFonts w:asciiTheme="minorHAnsi" w:hAnsiTheme="minorHAnsi" w:cstheme="minorHAnsi"/>
                <w:color w:val="000000"/>
                <w:sz w:val="14"/>
                <w:szCs w:val="14"/>
              </w:rPr>
              <w:t>3%</w:t>
            </w:r>
          </w:p>
        </w:tc>
        <w:tc>
          <w:tcPr>
            <w:tcW w:w="284" w:type="dxa"/>
            <w:noWrap/>
            <w:vAlign w:val="center"/>
          </w:tcPr>
          <w:p w14:paraId="0C3A919F" w14:textId="77777777" w:rsidR="00CC7D36" w:rsidRPr="00702A32" w:rsidRDefault="00CC7D36" w:rsidP="00CC7D36">
            <w:pPr>
              <w:spacing w:line="276" w:lineRule="auto"/>
              <w:jc w:val="center"/>
              <w:rPr>
                <w:rFonts w:asciiTheme="minorHAnsi" w:eastAsia="Times New Roman" w:hAnsiTheme="minorHAnsi" w:cstheme="minorHAnsi"/>
                <w:b/>
                <w:bCs/>
                <w:color w:val="005386"/>
                <w:sz w:val="14"/>
                <w:szCs w:val="14"/>
                <w:lang w:eastAsia="en-GB"/>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3DF12AA6"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259.7</w:t>
            </w:r>
          </w:p>
        </w:tc>
        <w:tc>
          <w:tcPr>
            <w:tcW w:w="851" w:type="dxa"/>
            <w:tcBorders>
              <w:top w:val="nil"/>
              <w:left w:val="single" w:sz="4" w:space="0" w:color="auto"/>
              <w:bottom w:val="single" w:sz="4" w:space="0" w:color="auto"/>
              <w:right w:val="single" w:sz="4" w:space="0" w:color="auto"/>
            </w:tcBorders>
            <w:shd w:val="clear" w:color="auto" w:fill="auto"/>
            <w:vAlign w:val="center"/>
          </w:tcPr>
          <w:p w14:paraId="67FDEA62"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250.5</w:t>
            </w:r>
          </w:p>
        </w:tc>
        <w:tc>
          <w:tcPr>
            <w:tcW w:w="850" w:type="dxa"/>
            <w:tcBorders>
              <w:top w:val="nil"/>
              <w:left w:val="nil"/>
              <w:bottom w:val="single" w:sz="4" w:space="0" w:color="auto"/>
              <w:right w:val="single" w:sz="4" w:space="0" w:color="auto"/>
            </w:tcBorders>
            <w:shd w:val="clear" w:color="000000" w:fill="FFFFFF"/>
            <w:vAlign w:val="center"/>
          </w:tcPr>
          <w:p w14:paraId="1315A7C4"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4%</w:t>
            </w:r>
          </w:p>
        </w:tc>
        <w:tc>
          <w:tcPr>
            <w:tcW w:w="851" w:type="dxa"/>
            <w:tcBorders>
              <w:top w:val="nil"/>
              <w:left w:val="nil"/>
              <w:bottom w:val="single" w:sz="4" w:space="0" w:color="auto"/>
              <w:right w:val="single" w:sz="4" w:space="0" w:color="auto"/>
            </w:tcBorders>
            <w:shd w:val="clear" w:color="auto" w:fill="auto"/>
            <w:vAlign w:val="center"/>
          </w:tcPr>
          <w:p w14:paraId="40D1CED6"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3%</w:t>
            </w:r>
          </w:p>
        </w:tc>
      </w:tr>
    </w:tbl>
    <w:p w14:paraId="4C4FC3E2" w14:textId="77777777" w:rsidR="0036477B" w:rsidRDefault="0036477B" w:rsidP="0036477B">
      <w:pPr>
        <w:spacing w:after="200" w:line="276" w:lineRule="auto"/>
        <w:rPr>
          <w:rFonts w:asciiTheme="minorHAnsi" w:hAnsiTheme="minorHAnsi" w:cstheme="minorHAnsi"/>
          <w:b/>
          <w:sz w:val="24"/>
          <w:lang w:val="fr-FR"/>
        </w:rPr>
      </w:pPr>
    </w:p>
    <w:p w14:paraId="7A3CE973" w14:textId="62CF7887" w:rsidR="000762E3" w:rsidRPr="0036477B" w:rsidRDefault="00CA4FE1" w:rsidP="0036477B">
      <w:pPr>
        <w:spacing w:after="200" w:line="276" w:lineRule="auto"/>
        <w:jc w:val="center"/>
        <w:rPr>
          <w:rFonts w:asciiTheme="minorHAnsi" w:hAnsiTheme="minorHAnsi" w:cstheme="minorHAnsi"/>
          <w:b/>
          <w:sz w:val="24"/>
          <w:lang w:val="fr-FR"/>
        </w:rPr>
      </w:pPr>
      <w:r w:rsidRPr="0036477B">
        <w:rPr>
          <w:rFonts w:asciiTheme="minorHAnsi" w:hAnsiTheme="minorHAnsi" w:cstheme="minorHAnsi"/>
          <w:b/>
          <w:sz w:val="24"/>
          <w:lang w:val="fr-FR"/>
        </w:rPr>
        <w:t>Second</w:t>
      </w:r>
      <w:r w:rsidR="000F26D6" w:rsidRPr="0036477B">
        <w:rPr>
          <w:rFonts w:asciiTheme="minorHAnsi" w:hAnsiTheme="minorHAnsi" w:cstheme="minorHAnsi"/>
          <w:b/>
          <w:sz w:val="24"/>
          <w:lang w:val="fr-FR"/>
        </w:rPr>
        <w:t xml:space="preserve"> Quarter 2020 versus 2019</w:t>
      </w:r>
      <w:r w:rsidR="000762E3" w:rsidRPr="0036477B">
        <w:rPr>
          <w:rFonts w:asciiTheme="minorHAnsi" w:hAnsiTheme="minorHAnsi" w:cstheme="minorHAnsi"/>
          <w:b/>
          <w:sz w:val="24"/>
          <w:lang w:val="fr-FR"/>
        </w:rPr>
        <w:t xml:space="preserve"> Financial </w:t>
      </w:r>
      <w:proofErr w:type="spellStart"/>
      <w:r w:rsidR="000762E3" w:rsidRPr="0036477B">
        <w:rPr>
          <w:rFonts w:asciiTheme="minorHAnsi" w:hAnsiTheme="minorHAnsi" w:cstheme="minorHAnsi"/>
          <w:b/>
          <w:sz w:val="24"/>
          <w:lang w:val="fr-FR"/>
        </w:rPr>
        <w:t>Comparisons</w:t>
      </w:r>
      <w:proofErr w:type="spellEnd"/>
    </w:p>
    <w:p w14:paraId="0DD4E687" w14:textId="6A21B8A2" w:rsidR="00DF4742" w:rsidRDefault="00BD4938" w:rsidP="00DF4742">
      <w:pPr>
        <w:jc w:val="both"/>
        <w:rPr>
          <w:rFonts w:asciiTheme="minorHAnsi" w:hAnsiTheme="minorHAnsi" w:cstheme="minorHAnsi"/>
          <w:b/>
        </w:rPr>
      </w:pPr>
      <w:r w:rsidRPr="00E26714">
        <w:rPr>
          <w:rFonts w:asciiTheme="minorHAnsi" w:hAnsiTheme="minorHAnsi" w:cstheme="minorHAnsi"/>
          <w:b/>
        </w:rPr>
        <w:t>Q</w:t>
      </w:r>
      <w:r w:rsidR="00CA4FE1">
        <w:rPr>
          <w:rFonts w:asciiTheme="minorHAnsi" w:hAnsiTheme="minorHAnsi" w:cstheme="minorHAnsi"/>
          <w:b/>
        </w:rPr>
        <w:t>2</w:t>
      </w:r>
      <w:r w:rsidR="00DF4742" w:rsidRPr="00E26714">
        <w:rPr>
          <w:rFonts w:asciiTheme="minorHAnsi" w:hAnsiTheme="minorHAnsi" w:cstheme="minorHAnsi"/>
          <w:b/>
        </w:rPr>
        <w:t xml:space="preserve"> Revenue Review </w:t>
      </w:r>
    </w:p>
    <w:p w14:paraId="2AB51697" w14:textId="00305C60" w:rsidR="000833D2" w:rsidRDefault="000833D2" w:rsidP="00DF4742">
      <w:pPr>
        <w:jc w:val="both"/>
        <w:rPr>
          <w:rFonts w:asciiTheme="minorHAnsi" w:hAnsiTheme="minorHAnsi" w:cstheme="minorHAnsi"/>
          <w:b/>
        </w:rPr>
      </w:pPr>
    </w:p>
    <w:p w14:paraId="3B9C855C" w14:textId="2581E9AC" w:rsidR="0084040D" w:rsidRDefault="00DF4742" w:rsidP="0084040D">
      <w:pPr>
        <w:spacing w:after="160" w:line="259" w:lineRule="auto"/>
        <w:jc w:val="both"/>
        <w:rPr>
          <w:rFonts w:asciiTheme="minorHAnsi" w:hAnsiTheme="minorHAnsi" w:cstheme="minorHAnsi"/>
        </w:rPr>
      </w:pPr>
      <w:r w:rsidRPr="00E26714">
        <w:rPr>
          <w:rFonts w:asciiTheme="minorHAnsi" w:hAnsiTheme="minorHAnsi" w:cstheme="minorHAnsi"/>
        </w:rPr>
        <w:t>•</w:t>
      </w:r>
      <w:r w:rsidRPr="00E26714">
        <w:rPr>
          <w:rFonts w:asciiTheme="minorHAnsi" w:hAnsiTheme="minorHAnsi" w:cstheme="minorHAnsi"/>
        </w:rPr>
        <w:tab/>
      </w:r>
      <w:r w:rsidR="00E77F34">
        <w:rPr>
          <w:rFonts w:asciiTheme="minorHAnsi" w:hAnsiTheme="minorHAnsi" w:cstheme="minorHAnsi"/>
        </w:rPr>
        <w:t>T</w:t>
      </w:r>
      <w:r w:rsidRPr="00E26714">
        <w:rPr>
          <w:rFonts w:asciiTheme="minorHAnsi" w:hAnsiTheme="minorHAnsi" w:cstheme="minorHAnsi"/>
        </w:rPr>
        <w:t xml:space="preserve">otal revenue increased </w:t>
      </w:r>
      <w:r w:rsidR="008D65DA">
        <w:rPr>
          <w:rFonts w:asciiTheme="minorHAnsi" w:hAnsiTheme="minorHAnsi" w:cstheme="minorHAnsi"/>
        </w:rPr>
        <w:t>10</w:t>
      </w:r>
      <w:r w:rsidRPr="00E26714">
        <w:rPr>
          <w:rFonts w:asciiTheme="minorHAnsi" w:hAnsiTheme="minorHAnsi" w:cstheme="minorHAnsi"/>
        </w:rPr>
        <w:t xml:space="preserve">% </w:t>
      </w:r>
      <w:r w:rsidRPr="00DF15C6">
        <w:rPr>
          <w:rFonts w:asciiTheme="minorHAnsi" w:hAnsiTheme="minorHAnsi" w:cstheme="minorHAnsi"/>
        </w:rPr>
        <w:t>(IFRS</w:t>
      </w:r>
      <w:r w:rsidR="000A1C59">
        <w:rPr>
          <w:rFonts w:asciiTheme="minorHAnsi" w:hAnsiTheme="minorHAnsi" w:cstheme="minorHAnsi"/>
        </w:rPr>
        <w:t xml:space="preserve"> and </w:t>
      </w:r>
      <w:r w:rsidR="00E970AA" w:rsidRPr="00E26714">
        <w:rPr>
          <w:rFonts w:asciiTheme="minorHAnsi" w:hAnsiTheme="minorHAnsi" w:cstheme="minorHAnsi"/>
        </w:rPr>
        <w:t>non-IFRS)</w:t>
      </w:r>
      <w:r w:rsidR="00F869FE">
        <w:rPr>
          <w:rFonts w:asciiTheme="minorHAnsi" w:hAnsiTheme="minorHAnsi" w:cstheme="minorHAnsi"/>
        </w:rPr>
        <w:t>, reflecting the inclusion of</w:t>
      </w:r>
      <w:r w:rsidR="0062667E" w:rsidRPr="00E26714">
        <w:rPr>
          <w:rFonts w:asciiTheme="minorHAnsi" w:hAnsiTheme="minorHAnsi" w:cstheme="minorHAnsi"/>
        </w:rPr>
        <w:t xml:space="preserve"> </w:t>
      </w:r>
      <w:proofErr w:type="spellStart"/>
      <w:r w:rsidR="0062667E" w:rsidRPr="00E26714">
        <w:rPr>
          <w:rFonts w:asciiTheme="minorHAnsi" w:hAnsiTheme="minorHAnsi" w:cstheme="minorHAnsi"/>
        </w:rPr>
        <w:t>Medidata</w:t>
      </w:r>
      <w:proofErr w:type="spellEnd"/>
      <w:r w:rsidR="0062667E" w:rsidRPr="00E26714">
        <w:rPr>
          <w:rFonts w:asciiTheme="minorHAnsi" w:hAnsiTheme="minorHAnsi" w:cstheme="minorHAnsi"/>
        </w:rPr>
        <w:t xml:space="preserve"> Solutions, Inc. </w:t>
      </w:r>
      <w:r w:rsidR="00F869FE">
        <w:rPr>
          <w:rFonts w:asciiTheme="minorHAnsi" w:hAnsiTheme="minorHAnsi" w:cstheme="minorHAnsi"/>
        </w:rPr>
        <w:t xml:space="preserve">following the completion of its acquisition </w:t>
      </w:r>
      <w:r w:rsidR="0062667E" w:rsidRPr="00E26714">
        <w:rPr>
          <w:rFonts w:asciiTheme="minorHAnsi" w:hAnsiTheme="minorHAnsi" w:cstheme="minorHAnsi"/>
        </w:rPr>
        <w:t xml:space="preserve">on October 28, 2019. </w:t>
      </w:r>
      <w:r w:rsidR="00756DAC">
        <w:rPr>
          <w:rFonts w:asciiTheme="minorHAnsi" w:hAnsiTheme="minorHAnsi" w:cstheme="minorHAnsi"/>
        </w:rPr>
        <w:t xml:space="preserve"> </w:t>
      </w:r>
      <w:r w:rsidR="000F26D6">
        <w:rPr>
          <w:rFonts w:asciiTheme="minorHAnsi" w:hAnsiTheme="minorHAnsi" w:cstheme="minorHAnsi"/>
        </w:rPr>
        <w:t>On an organic basi</w:t>
      </w:r>
      <w:r w:rsidR="00F869FE">
        <w:rPr>
          <w:rFonts w:asciiTheme="minorHAnsi" w:hAnsiTheme="minorHAnsi" w:cstheme="minorHAnsi"/>
        </w:rPr>
        <w:t xml:space="preserve">s, non-IFRS total revenue decreased </w:t>
      </w:r>
      <w:r w:rsidR="00906E0E">
        <w:rPr>
          <w:rFonts w:asciiTheme="minorHAnsi" w:hAnsiTheme="minorHAnsi" w:cstheme="minorHAnsi"/>
        </w:rPr>
        <w:t>8</w:t>
      </w:r>
      <w:r w:rsidR="00F869FE">
        <w:rPr>
          <w:rFonts w:asciiTheme="minorHAnsi" w:hAnsiTheme="minorHAnsi" w:cstheme="minorHAnsi"/>
        </w:rPr>
        <w:t>%</w:t>
      </w:r>
      <w:r w:rsidR="002E3FC7">
        <w:rPr>
          <w:rFonts w:asciiTheme="minorHAnsi" w:hAnsiTheme="minorHAnsi" w:cstheme="minorHAnsi"/>
        </w:rPr>
        <w:t xml:space="preserve"> largely due to the global </w:t>
      </w:r>
      <w:r w:rsidR="00B9469B">
        <w:rPr>
          <w:rFonts w:asciiTheme="minorHAnsi" w:hAnsiTheme="minorHAnsi" w:cstheme="minorHAnsi"/>
        </w:rPr>
        <w:t>COVID</w:t>
      </w:r>
      <w:r w:rsidR="0084040D">
        <w:rPr>
          <w:rFonts w:asciiTheme="minorHAnsi" w:hAnsiTheme="minorHAnsi" w:cstheme="minorHAnsi"/>
        </w:rPr>
        <w:t xml:space="preserve">-19 </w:t>
      </w:r>
      <w:r w:rsidR="001D7405">
        <w:rPr>
          <w:rFonts w:asciiTheme="minorHAnsi" w:hAnsiTheme="minorHAnsi" w:cstheme="minorHAnsi"/>
        </w:rPr>
        <w:t>pandemic im</w:t>
      </w:r>
      <w:r w:rsidR="00103AEC">
        <w:rPr>
          <w:rFonts w:asciiTheme="minorHAnsi" w:hAnsiTheme="minorHAnsi" w:cstheme="minorHAnsi"/>
        </w:rPr>
        <w:t>pact on ne</w:t>
      </w:r>
      <w:r w:rsidR="00EA6164">
        <w:rPr>
          <w:rFonts w:asciiTheme="minorHAnsi" w:hAnsiTheme="minorHAnsi" w:cstheme="minorHAnsi"/>
        </w:rPr>
        <w:t>w licenses and services activities, offset in part by</w:t>
      </w:r>
      <w:r w:rsidR="00756DAC">
        <w:rPr>
          <w:rFonts w:asciiTheme="minorHAnsi" w:hAnsiTheme="minorHAnsi" w:cstheme="minorHAnsi"/>
        </w:rPr>
        <w:t xml:space="preserve"> organic growth of 4% for</w:t>
      </w:r>
      <w:r w:rsidR="00ED24DB">
        <w:rPr>
          <w:rFonts w:asciiTheme="minorHAnsi" w:hAnsiTheme="minorHAnsi" w:cstheme="minorHAnsi"/>
        </w:rPr>
        <w:t xml:space="preserve"> </w:t>
      </w:r>
      <w:r w:rsidR="00100DFF">
        <w:rPr>
          <w:rFonts w:asciiTheme="minorHAnsi" w:hAnsiTheme="minorHAnsi" w:cstheme="minorHAnsi"/>
        </w:rPr>
        <w:t xml:space="preserve">non-IFRS </w:t>
      </w:r>
      <w:r w:rsidR="00ED24DB">
        <w:rPr>
          <w:rFonts w:asciiTheme="minorHAnsi" w:hAnsiTheme="minorHAnsi" w:cstheme="minorHAnsi"/>
        </w:rPr>
        <w:t xml:space="preserve">recurring software </w:t>
      </w:r>
      <w:r w:rsidR="00756DAC">
        <w:rPr>
          <w:rFonts w:asciiTheme="minorHAnsi" w:hAnsiTheme="minorHAnsi" w:cstheme="minorHAnsi"/>
        </w:rPr>
        <w:t>revenue</w:t>
      </w:r>
      <w:r w:rsidR="00ED24DB">
        <w:rPr>
          <w:rFonts w:asciiTheme="minorHAnsi" w:hAnsiTheme="minorHAnsi" w:cstheme="minorHAnsi"/>
        </w:rPr>
        <w:t>.</w:t>
      </w:r>
      <w:r w:rsidR="0084040D" w:rsidRPr="0084040D">
        <w:rPr>
          <w:rFonts w:asciiTheme="minorHAnsi" w:hAnsiTheme="minorHAnsi" w:cstheme="minorHAnsi"/>
        </w:rPr>
        <w:t xml:space="preserve"> </w:t>
      </w:r>
      <w:r w:rsidR="00E77F34" w:rsidRPr="00E26714">
        <w:rPr>
          <w:rFonts w:asciiTheme="minorHAnsi" w:hAnsiTheme="minorHAnsi" w:cstheme="minorHAnsi"/>
        </w:rPr>
        <w:t>(All growth rates</w:t>
      </w:r>
      <w:r w:rsidR="00E77F34">
        <w:rPr>
          <w:rFonts w:asciiTheme="minorHAnsi" w:hAnsiTheme="minorHAnsi" w:cstheme="minorHAnsi"/>
        </w:rPr>
        <w:t xml:space="preserve"> are</w:t>
      </w:r>
      <w:r w:rsidR="00E77F34" w:rsidRPr="00E26714">
        <w:rPr>
          <w:rFonts w:asciiTheme="minorHAnsi" w:hAnsiTheme="minorHAnsi" w:cstheme="minorHAnsi"/>
        </w:rPr>
        <w:t xml:space="preserve"> at constant currencies</w:t>
      </w:r>
      <w:r w:rsidR="00E77F34">
        <w:rPr>
          <w:rFonts w:asciiTheme="minorHAnsi" w:hAnsiTheme="minorHAnsi" w:cstheme="minorHAnsi"/>
        </w:rPr>
        <w:t>.</w:t>
      </w:r>
      <w:r w:rsidR="00E77F34" w:rsidRPr="00E26714">
        <w:rPr>
          <w:rFonts w:asciiTheme="minorHAnsi" w:hAnsiTheme="minorHAnsi" w:cstheme="minorHAnsi"/>
        </w:rPr>
        <w:t>)</w:t>
      </w:r>
    </w:p>
    <w:p w14:paraId="00505167" w14:textId="61D02D68" w:rsidR="000709D8" w:rsidRDefault="00AB6A43" w:rsidP="00756DAC">
      <w:pPr>
        <w:spacing w:after="160" w:line="259" w:lineRule="auto"/>
        <w:jc w:val="both"/>
        <w:rPr>
          <w:rFonts w:asciiTheme="minorHAnsi" w:hAnsiTheme="minorHAnsi" w:cstheme="minorHAnsi"/>
        </w:rPr>
      </w:pPr>
      <w:r w:rsidRPr="00E26714">
        <w:rPr>
          <w:rFonts w:asciiTheme="minorHAnsi" w:hAnsiTheme="minorHAnsi" w:cstheme="minorHAnsi"/>
        </w:rPr>
        <w:t>•</w:t>
      </w:r>
      <w:r w:rsidRPr="00E26714">
        <w:rPr>
          <w:rFonts w:asciiTheme="minorHAnsi" w:hAnsiTheme="minorHAnsi" w:cstheme="minorHAnsi"/>
        </w:rPr>
        <w:tab/>
      </w:r>
      <w:r w:rsidR="000A1C59">
        <w:rPr>
          <w:rFonts w:asciiTheme="minorHAnsi" w:hAnsiTheme="minorHAnsi" w:cstheme="minorHAnsi"/>
        </w:rPr>
        <w:t>S</w:t>
      </w:r>
      <w:r w:rsidR="00DF4742" w:rsidRPr="00E26714">
        <w:rPr>
          <w:rFonts w:cstheme="minorHAnsi"/>
        </w:rPr>
        <w:t xml:space="preserve">oftware revenue </w:t>
      </w:r>
      <w:r w:rsidR="00906E0E">
        <w:rPr>
          <w:rFonts w:cstheme="minorHAnsi"/>
        </w:rPr>
        <w:t>grew</w:t>
      </w:r>
      <w:r w:rsidR="00A3469D" w:rsidRPr="00E26714">
        <w:rPr>
          <w:rFonts w:cstheme="minorHAnsi"/>
        </w:rPr>
        <w:t xml:space="preserve"> </w:t>
      </w:r>
      <w:r w:rsidR="000A1C59">
        <w:rPr>
          <w:rFonts w:cstheme="minorHAnsi"/>
        </w:rPr>
        <w:t>1</w:t>
      </w:r>
      <w:r w:rsidR="00906E0E">
        <w:rPr>
          <w:rFonts w:cstheme="minorHAnsi"/>
        </w:rPr>
        <w:t>2</w:t>
      </w:r>
      <w:r w:rsidR="005B579D" w:rsidRPr="00E26714">
        <w:rPr>
          <w:rFonts w:cstheme="minorHAnsi"/>
        </w:rPr>
        <w:t>%</w:t>
      </w:r>
      <w:r w:rsidR="000A1C59">
        <w:rPr>
          <w:rFonts w:cstheme="minorHAnsi"/>
        </w:rPr>
        <w:t xml:space="preserve"> </w:t>
      </w:r>
      <w:r w:rsidR="000A1C59" w:rsidRPr="0098668A">
        <w:rPr>
          <w:rFonts w:cstheme="minorHAnsi"/>
        </w:rPr>
        <w:t>(IFRS</w:t>
      </w:r>
      <w:r w:rsidR="000A1C59">
        <w:rPr>
          <w:rFonts w:cstheme="minorHAnsi"/>
        </w:rPr>
        <w:t xml:space="preserve"> and non-IFRS)</w:t>
      </w:r>
      <w:r w:rsidR="00AC16F2">
        <w:rPr>
          <w:rFonts w:cstheme="minorHAnsi"/>
        </w:rPr>
        <w:t xml:space="preserve">. Non-IFRS recurring software revenue </w:t>
      </w:r>
      <w:r w:rsidR="00906E0E">
        <w:rPr>
          <w:rFonts w:cstheme="minorHAnsi"/>
        </w:rPr>
        <w:t>increased</w:t>
      </w:r>
      <w:r w:rsidR="00AC16F2">
        <w:rPr>
          <w:rFonts w:cstheme="minorHAnsi"/>
        </w:rPr>
        <w:t xml:space="preserve"> 30% reflecting </w:t>
      </w:r>
      <w:r w:rsidR="00485504">
        <w:rPr>
          <w:rFonts w:cstheme="minorHAnsi"/>
        </w:rPr>
        <w:t>principally</w:t>
      </w:r>
      <w:r w:rsidR="00AC16F2">
        <w:rPr>
          <w:rFonts w:cstheme="minorHAnsi"/>
        </w:rPr>
        <w:t xml:space="preserve"> increase in Life Sciences</w:t>
      </w:r>
      <w:r w:rsidR="00100DFF">
        <w:rPr>
          <w:rFonts w:cstheme="minorHAnsi"/>
        </w:rPr>
        <w:t>,</w:t>
      </w:r>
      <w:r w:rsidR="00AC16F2">
        <w:rPr>
          <w:rFonts w:cstheme="minorHAnsi"/>
        </w:rPr>
        <w:t xml:space="preserve"> </w:t>
      </w:r>
      <w:r w:rsidR="004D6AD7">
        <w:rPr>
          <w:rFonts w:cstheme="minorHAnsi"/>
        </w:rPr>
        <w:t>growth in Mainstream Innovation and</w:t>
      </w:r>
      <w:r w:rsidR="00AC16F2">
        <w:rPr>
          <w:rFonts w:cstheme="minorHAnsi"/>
        </w:rPr>
        <w:t xml:space="preserve"> </w:t>
      </w:r>
      <w:r w:rsidR="004D6AD7">
        <w:rPr>
          <w:rFonts w:cstheme="minorHAnsi"/>
        </w:rPr>
        <w:t xml:space="preserve">in </w:t>
      </w:r>
      <w:r w:rsidR="00AC16F2">
        <w:rPr>
          <w:rFonts w:cstheme="minorHAnsi"/>
        </w:rPr>
        <w:t>Industrial Inno</w:t>
      </w:r>
      <w:r w:rsidR="00BB36FA">
        <w:rPr>
          <w:rFonts w:cstheme="minorHAnsi"/>
        </w:rPr>
        <w:t>vation</w:t>
      </w:r>
      <w:r w:rsidR="00AC16F2">
        <w:rPr>
          <w:rFonts w:cstheme="minorHAnsi"/>
        </w:rPr>
        <w:t xml:space="preserve">. </w:t>
      </w:r>
      <w:r w:rsidR="00DF4742" w:rsidRPr="00E26714">
        <w:rPr>
          <w:rFonts w:cstheme="minorHAnsi"/>
        </w:rPr>
        <w:t>Non-IFRS recurring</w:t>
      </w:r>
      <w:r w:rsidR="00AC16F2">
        <w:rPr>
          <w:rFonts w:cstheme="minorHAnsi"/>
        </w:rPr>
        <w:t xml:space="preserve"> software</w:t>
      </w:r>
      <w:r w:rsidR="00DF4742" w:rsidRPr="00E26714">
        <w:rPr>
          <w:rFonts w:cstheme="minorHAnsi"/>
        </w:rPr>
        <w:t xml:space="preserve"> </w:t>
      </w:r>
      <w:r w:rsidR="00F869FE">
        <w:rPr>
          <w:rFonts w:cstheme="minorHAnsi"/>
        </w:rPr>
        <w:t>revenue represented 8</w:t>
      </w:r>
      <w:r w:rsidR="00906E0E">
        <w:rPr>
          <w:rFonts w:cstheme="minorHAnsi"/>
        </w:rPr>
        <w:t>2</w:t>
      </w:r>
      <w:r w:rsidR="00F869FE">
        <w:rPr>
          <w:rFonts w:cstheme="minorHAnsi"/>
        </w:rPr>
        <w:t>% of non-IFRS software revenue</w:t>
      </w:r>
      <w:r w:rsidR="00AC16F2">
        <w:rPr>
          <w:rFonts w:cstheme="minorHAnsi"/>
        </w:rPr>
        <w:t xml:space="preserve"> in the </w:t>
      </w:r>
      <w:r w:rsidR="00906E0E">
        <w:rPr>
          <w:rFonts w:cstheme="minorHAnsi"/>
        </w:rPr>
        <w:t>second</w:t>
      </w:r>
      <w:r w:rsidR="00AC16F2">
        <w:rPr>
          <w:rFonts w:cstheme="minorHAnsi"/>
        </w:rPr>
        <w:t xml:space="preserve"> quarter</w:t>
      </w:r>
      <w:r w:rsidR="00A72EC2" w:rsidRPr="00E26714">
        <w:rPr>
          <w:rFonts w:cstheme="minorHAnsi"/>
        </w:rPr>
        <w:t xml:space="preserve">. </w:t>
      </w:r>
      <w:r w:rsidR="00AC16F2" w:rsidRPr="00E26714">
        <w:rPr>
          <w:rFonts w:cstheme="minorHAnsi"/>
        </w:rPr>
        <w:t>Licenses and o</w:t>
      </w:r>
      <w:r w:rsidR="00AC16F2">
        <w:rPr>
          <w:rFonts w:cstheme="minorHAnsi"/>
        </w:rPr>
        <w:t xml:space="preserve">ther software revenue decreased </w:t>
      </w:r>
      <w:r w:rsidR="00906E0E">
        <w:rPr>
          <w:rFonts w:cstheme="minorHAnsi"/>
        </w:rPr>
        <w:t>32</w:t>
      </w:r>
      <w:r w:rsidR="00AC16F2">
        <w:rPr>
          <w:rFonts w:cstheme="minorHAnsi"/>
        </w:rPr>
        <w:t>%</w:t>
      </w:r>
      <w:r w:rsidR="00AC16F2" w:rsidRPr="00E26714">
        <w:rPr>
          <w:rFonts w:cstheme="minorHAnsi"/>
        </w:rPr>
        <w:t xml:space="preserve"> (IF</w:t>
      </w:r>
      <w:r w:rsidR="00AC16F2">
        <w:rPr>
          <w:rFonts w:cstheme="minorHAnsi"/>
        </w:rPr>
        <w:t>RS and non-IFR</w:t>
      </w:r>
      <w:r w:rsidR="004B6995">
        <w:rPr>
          <w:rFonts w:cstheme="minorHAnsi"/>
        </w:rPr>
        <w:t>S)</w:t>
      </w:r>
      <w:r w:rsidR="0051378B">
        <w:rPr>
          <w:rFonts w:cstheme="minorHAnsi"/>
        </w:rPr>
        <w:t>,</w:t>
      </w:r>
      <w:r w:rsidR="00A36AB3">
        <w:rPr>
          <w:rFonts w:cstheme="minorHAnsi"/>
        </w:rPr>
        <w:t xml:space="preserve"> largely reflecting the impact of </w:t>
      </w:r>
      <w:r w:rsidR="00235A09">
        <w:rPr>
          <w:rFonts w:cstheme="minorHAnsi"/>
        </w:rPr>
        <w:t xml:space="preserve">the </w:t>
      </w:r>
      <w:r w:rsidR="004C4EE4">
        <w:rPr>
          <w:rFonts w:cstheme="minorHAnsi"/>
        </w:rPr>
        <w:t>COVID</w:t>
      </w:r>
      <w:r w:rsidR="00A36AB3">
        <w:rPr>
          <w:rFonts w:cstheme="minorHAnsi"/>
        </w:rPr>
        <w:t>-19</w:t>
      </w:r>
      <w:r w:rsidR="00235A09">
        <w:rPr>
          <w:rFonts w:cstheme="minorHAnsi"/>
        </w:rPr>
        <w:t xml:space="preserve"> </w:t>
      </w:r>
      <w:r w:rsidR="004C4EE4">
        <w:rPr>
          <w:rFonts w:cstheme="minorHAnsi"/>
        </w:rPr>
        <w:t>p</w:t>
      </w:r>
      <w:r w:rsidR="00235A09">
        <w:rPr>
          <w:rFonts w:cstheme="minorHAnsi"/>
        </w:rPr>
        <w:t>andemic</w:t>
      </w:r>
      <w:r w:rsidR="00A36AB3">
        <w:rPr>
          <w:rFonts w:cstheme="minorHAnsi"/>
        </w:rPr>
        <w:t xml:space="preserve"> </w:t>
      </w:r>
      <w:r w:rsidR="00906E0E">
        <w:rPr>
          <w:rFonts w:cstheme="minorHAnsi"/>
        </w:rPr>
        <w:t>reducing end-market demand</w:t>
      </w:r>
      <w:r w:rsidR="00235A09">
        <w:rPr>
          <w:rFonts w:cstheme="minorHAnsi"/>
        </w:rPr>
        <w:t xml:space="preserve"> across a number of industries</w:t>
      </w:r>
      <w:r w:rsidR="00A36AB3">
        <w:rPr>
          <w:rFonts w:cstheme="minorHAnsi"/>
        </w:rPr>
        <w:t xml:space="preserve">. </w:t>
      </w:r>
      <w:r w:rsidR="00A80A0C" w:rsidRPr="00A80A0C">
        <w:rPr>
          <w:rFonts w:cstheme="minorHAnsi"/>
          <w:bCs/>
          <w:iCs/>
        </w:rPr>
        <w:t xml:space="preserve"> </w:t>
      </w:r>
      <w:r w:rsidR="00DF4742" w:rsidRPr="00E26714">
        <w:rPr>
          <w:rFonts w:asciiTheme="minorHAnsi" w:hAnsiTheme="minorHAnsi" w:cstheme="minorHAnsi"/>
        </w:rPr>
        <w:t>(All growt</w:t>
      </w:r>
      <w:r w:rsidR="00A72EC2" w:rsidRPr="00E26714">
        <w:rPr>
          <w:rFonts w:asciiTheme="minorHAnsi" w:hAnsiTheme="minorHAnsi" w:cstheme="minorHAnsi"/>
        </w:rPr>
        <w:t>h rates</w:t>
      </w:r>
      <w:r w:rsidR="0035741A">
        <w:rPr>
          <w:rFonts w:asciiTheme="minorHAnsi" w:hAnsiTheme="minorHAnsi" w:cstheme="minorHAnsi"/>
        </w:rPr>
        <w:t xml:space="preserve"> are</w:t>
      </w:r>
      <w:r w:rsidR="00A72EC2" w:rsidRPr="00E26714">
        <w:rPr>
          <w:rFonts w:asciiTheme="minorHAnsi" w:hAnsiTheme="minorHAnsi" w:cstheme="minorHAnsi"/>
        </w:rPr>
        <w:t xml:space="preserve"> at constant currencies</w:t>
      </w:r>
      <w:r w:rsidR="0035741A">
        <w:rPr>
          <w:rFonts w:asciiTheme="minorHAnsi" w:hAnsiTheme="minorHAnsi" w:cstheme="minorHAnsi"/>
        </w:rPr>
        <w:t>.</w:t>
      </w:r>
      <w:r w:rsidR="00A72EC2" w:rsidRPr="00E26714">
        <w:rPr>
          <w:rFonts w:asciiTheme="minorHAnsi" w:hAnsiTheme="minorHAnsi" w:cstheme="minorHAnsi"/>
        </w:rPr>
        <w:t>)</w:t>
      </w:r>
    </w:p>
    <w:p w14:paraId="1A759FB2" w14:textId="3F2761B0" w:rsidR="00D621DE" w:rsidRPr="00D621DE" w:rsidRDefault="00B709E7" w:rsidP="00D621DE">
      <w:pPr>
        <w:spacing w:after="160" w:line="259" w:lineRule="auto"/>
        <w:jc w:val="both"/>
        <w:rPr>
          <w:rFonts w:cstheme="minorHAnsi"/>
        </w:rPr>
      </w:pPr>
      <w:r>
        <w:rPr>
          <w:rFonts w:cstheme="minorHAnsi"/>
        </w:rPr>
        <w:t>•</w:t>
      </w:r>
      <w:r>
        <w:rPr>
          <w:rFonts w:cstheme="minorHAnsi"/>
        </w:rPr>
        <w:tab/>
      </w:r>
      <w:r w:rsidR="00532526">
        <w:rPr>
          <w:rFonts w:cstheme="minorHAnsi"/>
        </w:rPr>
        <w:t xml:space="preserve">With the addition of </w:t>
      </w:r>
      <w:proofErr w:type="spellStart"/>
      <w:r w:rsidR="00532526">
        <w:rPr>
          <w:rFonts w:cstheme="minorHAnsi"/>
        </w:rPr>
        <w:t>Medidata</w:t>
      </w:r>
      <w:proofErr w:type="spellEnd"/>
      <w:r w:rsidR="00532526">
        <w:rPr>
          <w:rFonts w:cstheme="minorHAnsi"/>
        </w:rPr>
        <w:t>, the Americas represented 38% (30% in Q2</w:t>
      </w:r>
      <w:r w:rsidR="00FA30A0">
        <w:rPr>
          <w:rFonts w:cstheme="minorHAnsi"/>
        </w:rPr>
        <w:t xml:space="preserve"> 20</w:t>
      </w:r>
      <w:r w:rsidR="00532526">
        <w:rPr>
          <w:rFonts w:cstheme="minorHAnsi"/>
        </w:rPr>
        <w:t>19) of total</w:t>
      </w:r>
      <w:r w:rsidR="0078483C">
        <w:rPr>
          <w:rFonts w:cstheme="minorHAnsi"/>
        </w:rPr>
        <w:t xml:space="preserve"> non-IFRS</w:t>
      </w:r>
      <w:r w:rsidR="00532526">
        <w:rPr>
          <w:rFonts w:cstheme="minorHAnsi"/>
        </w:rPr>
        <w:t xml:space="preserve"> software revenue, Europe 35% (41% in Q2</w:t>
      </w:r>
      <w:r w:rsidR="00FA30A0">
        <w:rPr>
          <w:rFonts w:cstheme="minorHAnsi"/>
        </w:rPr>
        <w:t xml:space="preserve"> 20</w:t>
      </w:r>
      <w:r w:rsidR="00532526">
        <w:rPr>
          <w:rFonts w:cstheme="minorHAnsi"/>
        </w:rPr>
        <w:t>19) and Asia 27% (29% in Q2</w:t>
      </w:r>
      <w:r w:rsidR="00FA30A0">
        <w:rPr>
          <w:rFonts w:cstheme="minorHAnsi"/>
        </w:rPr>
        <w:t xml:space="preserve"> 20</w:t>
      </w:r>
      <w:r w:rsidR="00532526">
        <w:rPr>
          <w:rFonts w:cstheme="minorHAnsi"/>
        </w:rPr>
        <w:t xml:space="preserve">19). </w:t>
      </w:r>
      <w:r w:rsidR="00532526" w:rsidRPr="00532526">
        <w:rPr>
          <w:rFonts w:cstheme="minorHAnsi"/>
        </w:rPr>
        <w:t xml:space="preserve">In the Americas, non-IFRS software revenue increased 43%.  </w:t>
      </w:r>
      <w:r w:rsidR="00D621DE" w:rsidRPr="00D621DE">
        <w:rPr>
          <w:rFonts w:cstheme="minorHAnsi"/>
        </w:rPr>
        <w:t>Europe non-I</w:t>
      </w:r>
      <w:r w:rsidR="004B6995">
        <w:rPr>
          <w:rFonts w:cstheme="minorHAnsi"/>
        </w:rPr>
        <w:t xml:space="preserve">FRS software revenue </w:t>
      </w:r>
      <w:r w:rsidR="00322B9C">
        <w:rPr>
          <w:rFonts w:cstheme="minorHAnsi"/>
        </w:rPr>
        <w:t>de</w:t>
      </w:r>
      <w:r w:rsidR="004B6995">
        <w:rPr>
          <w:rFonts w:cstheme="minorHAnsi"/>
        </w:rPr>
        <w:t xml:space="preserve">creased </w:t>
      </w:r>
      <w:r w:rsidR="00781C95">
        <w:rPr>
          <w:rFonts w:cstheme="minorHAnsi"/>
        </w:rPr>
        <w:t>4</w:t>
      </w:r>
      <w:r w:rsidR="00D621DE" w:rsidRPr="00D621DE">
        <w:rPr>
          <w:rFonts w:cstheme="minorHAnsi"/>
        </w:rPr>
        <w:t>%</w:t>
      </w:r>
      <w:r w:rsidR="00D336FD">
        <w:rPr>
          <w:rFonts w:cstheme="minorHAnsi"/>
        </w:rPr>
        <w:t>.</w:t>
      </w:r>
      <w:r w:rsidR="0099730C">
        <w:rPr>
          <w:rFonts w:cstheme="minorHAnsi"/>
        </w:rPr>
        <w:t xml:space="preserve"> </w:t>
      </w:r>
      <w:r w:rsidR="00A25B7A">
        <w:rPr>
          <w:rFonts w:cstheme="minorHAnsi"/>
        </w:rPr>
        <w:t>In</w:t>
      </w:r>
      <w:r w:rsidR="008B734A">
        <w:rPr>
          <w:rFonts w:cstheme="minorHAnsi"/>
        </w:rPr>
        <w:t xml:space="preserve"> </w:t>
      </w:r>
      <w:r w:rsidR="00D621DE" w:rsidRPr="00D621DE">
        <w:rPr>
          <w:rFonts w:cstheme="minorHAnsi"/>
        </w:rPr>
        <w:t>Asia</w:t>
      </w:r>
      <w:r w:rsidR="008B734A">
        <w:rPr>
          <w:rFonts w:cstheme="minorHAnsi"/>
        </w:rPr>
        <w:t>,</w:t>
      </w:r>
      <w:r w:rsidR="00D621DE" w:rsidRPr="00D621DE">
        <w:rPr>
          <w:rFonts w:cstheme="minorHAnsi"/>
        </w:rPr>
        <w:t xml:space="preserve"> non-IFRS software revenue inc</w:t>
      </w:r>
      <w:r w:rsidR="007A48FD">
        <w:rPr>
          <w:rFonts w:cstheme="minorHAnsi"/>
        </w:rPr>
        <w:t xml:space="preserve">reased </w:t>
      </w:r>
      <w:r w:rsidR="00781C95">
        <w:rPr>
          <w:rFonts w:cstheme="minorHAnsi"/>
        </w:rPr>
        <w:t>3</w:t>
      </w:r>
      <w:r w:rsidR="007A48FD">
        <w:rPr>
          <w:rFonts w:cstheme="minorHAnsi"/>
        </w:rPr>
        <w:t>%</w:t>
      </w:r>
      <w:r w:rsidR="0035741A">
        <w:rPr>
          <w:rFonts w:cstheme="minorHAnsi"/>
        </w:rPr>
        <w:t xml:space="preserve"> in total. </w:t>
      </w:r>
      <w:r w:rsidR="0020535F">
        <w:rPr>
          <w:rFonts w:cstheme="minorHAnsi"/>
        </w:rPr>
        <w:t>O</w:t>
      </w:r>
      <w:r w:rsidR="00322B9C">
        <w:rPr>
          <w:rFonts w:cstheme="minorHAnsi"/>
        </w:rPr>
        <w:t>n an organic basis, the</w:t>
      </w:r>
      <w:r w:rsidR="00673E8D">
        <w:rPr>
          <w:rFonts w:cstheme="minorHAnsi"/>
        </w:rPr>
        <w:t xml:space="preserve"> </w:t>
      </w:r>
      <w:r w:rsidR="00C235BD">
        <w:rPr>
          <w:rFonts w:cstheme="minorHAnsi"/>
        </w:rPr>
        <w:t>Group</w:t>
      </w:r>
      <w:r w:rsidR="00673E8D">
        <w:rPr>
          <w:rFonts w:cstheme="minorHAnsi"/>
        </w:rPr>
        <w:t>’s</w:t>
      </w:r>
      <w:r w:rsidR="00322B9C">
        <w:rPr>
          <w:rFonts w:cstheme="minorHAnsi"/>
        </w:rPr>
        <w:t xml:space="preserve"> best performing geo</w:t>
      </w:r>
      <w:r w:rsidR="00C927C1">
        <w:rPr>
          <w:rFonts w:cstheme="minorHAnsi"/>
        </w:rPr>
        <w:t>graphie</w:t>
      </w:r>
      <w:r w:rsidR="0099730C">
        <w:rPr>
          <w:rFonts w:cstheme="minorHAnsi"/>
        </w:rPr>
        <w:t xml:space="preserve">s were North America, </w:t>
      </w:r>
      <w:r w:rsidR="009E2F44">
        <w:rPr>
          <w:rFonts w:cstheme="minorHAnsi"/>
        </w:rPr>
        <w:t xml:space="preserve">Asia Pacific </w:t>
      </w:r>
      <w:r w:rsidR="00192989">
        <w:rPr>
          <w:rFonts w:cstheme="minorHAnsi"/>
        </w:rPr>
        <w:t>South</w:t>
      </w:r>
      <w:r w:rsidR="0099730C">
        <w:rPr>
          <w:rFonts w:cstheme="minorHAnsi"/>
        </w:rPr>
        <w:t>, Japan and China.</w:t>
      </w:r>
      <w:r w:rsidR="00D621DE" w:rsidRPr="00D621DE">
        <w:rPr>
          <w:rFonts w:cstheme="minorHAnsi"/>
        </w:rPr>
        <w:t xml:space="preserve"> </w:t>
      </w:r>
      <w:r w:rsidR="00103AEC">
        <w:rPr>
          <w:rFonts w:cstheme="minorHAnsi"/>
        </w:rPr>
        <w:t>(All growth rates at constant currencies)</w:t>
      </w:r>
      <w:r w:rsidR="0038047D">
        <w:rPr>
          <w:rFonts w:cstheme="minorHAnsi"/>
        </w:rPr>
        <w:t>.</w:t>
      </w:r>
    </w:p>
    <w:p w14:paraId="11650AD6" w14:textId="1BFFE41D" w:rsidR="00DF4742" w:rsidRDefault="00D621DE" w:rsidP="00DF4742">
      <w:pPr>
        <w:jc w:val="both"/>
        <w:rPr>
          <w:rFonts w:asciiTheme="minorHAnsi" w:hAnsiTheme="minorHAnsi" w:cstheme="minorHAnsi"/>
        </w:rPr>
      </w:pPr>
      <w:r w:rsidRPr="00D621DE">
        <w:rPr>
          <w:rFonts w:cstheme="minorHAnsi"/>
        </w:rPr>
        <w:t>•</w:t>
      </w:r>
      <w:r w:rsidRPr="00D621DE">
        <w:rPr>
          <w:rFonts w:cstheme="minorHAnsi"/>
        </w:rPr>
        <w:tab/>
      </w:r>
      <w:r w:rsidR="00E9644B">
        <w:rPr>
          <w:rFonts w:asciiTheme="minorHAnsi" w:hAnsiTheme="minorHAnsi" w:cstheme="minorHAnsi"/>
        </w:rPr>
        <w:t>Services revenue decreased 4</w:t>
      </w:r>
      <w:r w:rsidR="0035741A" w:rsidRPr="00756DAC">
        <w:rPr>
          <w:rFonts w:asciiTheme="minorHAnsi" w:hAnsiTheme="minorHAnsi" w:cstheme="minorHAnsi"/>
        </w:rPr>
        <w:t>% (IF</w:t>
      </w:r>
      <w:r w:rsidR="00E9644B">
        <w:rPr>
          <w:rFonts w:asciiTheme="minorHAnsi" w:hAnsiTheme="minorHAnsi" w:cstheme="minorHAnsi"/>
        </w:rPr>
        <w:t>RS</w:t>
      </w:r>
      <w:r w:rsidR="00CF3EF6">
        <w:rPr>
          <w:rFonts w:asciiTheme="minorHAnsi" w:hAnsiTheme="minorHAnsi" w:cstheme="minorHAnsi"/>
        </w:rPr>
        <w:t>)</w:t>
      </w:r>
      <w:r w:rsidR="00E9644B">
        <w:rPr>
          <w:rFonts w:asciiTheme="minorHAnsi" w:hAnsiTheme="minorHAnsi" w:cstheme="minorHAnsi"/>
        </w:rPr>
        <w:t xml:space="preserve"> and </w:t>
      </w:r>
      <w:r w:rsidR="00CF3EF6">
        <w:rPr>
          <w:rFonts w:asciiTheme="minorHAnsi" w:hAnsiTheme="minorHAnsi" w:cstheme="minorHAnsi"/>
        </w:rPr>
        <w:t>5% (</w:t>
      </w:r>
      <w:r w:rsidR="00CC1104">
        <w:rPr>
          <w:rFonts w:asciiTheme="minorHAnsi" w:hAnsiTheme="minorHAnsi" w:cstheme="minorHAnsi"/>
        </w:rPr>
        <w:t xml:space="preserve">non-IFRS) on a double-digit decrease in services </w:t>
      </w:r>
      <w:r w:rsidR="00CE3127">
        <w:rPr>
          <w:rFonts w:asciiTheme="minorHAnsi" w:hAnsiTheme="minorHAnsi" w:cstheme="minorHAnsi"/>
        </w:rPr>
        <w:t xml:space="preserve">non-IFRS </w:t>
      </w:r>
      <w:r w:rsidR="00CC1104">
        <w:rPr>
          <w:rFonts w:asciiTheme="minorHAnsi" w:hAnsiTheme="minorHAnsi" w:cstheme="minorHAnsi"/>
        </w:rPr>
        <w:t>revenue on an</w:t>
      </w:r>
      <w:r w:rsidR="0035741A" w:rsidRPr="00756DAC">
        <w:rPr>
          <w:rFonts w:asciiTheme="minorHAnsi" w:hAnsiTheme="minorHAnsi" w:cstheme="minorHAnsi"/>
        </w:rPr>
        <w:t xml:space="preserve"> organic basis reflecting the impact of the </w:t>
      </w:r>
      <w:r w:rsidR="00CE3127">
        <w:rPr>
          <w:rFonts w:asciiTheme="minorHAnsi" w:hAnsiTheme="minorHAnsi" w:cstheme="minorHAnsi"/>
        </w:rPr>
        <w:t>COVID-19</w:t>
      </w:r>
      <w:r w:rsidR="00CE3127" w:rsidRPr="00756DAC">
        <w:rPr>
          <w:rFonts w:asciiTheme="minorHAnsi" w:hAnsiTheme="minorHAnsi" w:cstheme="minorHAnsi"/>
        </w:rPr>
        <w:t xml:space="preserve"> </w:t>
      </w:r>
      <w:r w:rsidR="0035741A" w:rsidRPr="00756DAC">
        <w:rPr>
          <w:rFonts w:asciiTheme="minorHAnsi" w:hAnsiTheme="minorHAnsi" w:cstheme="minorHAnsi"/>
        </w:rPr>
        <w:t>pandemic on new activities as we</w:t>
      </w:r>
      <w:r w:rsidR="0035741A">
        <w:rPr>
          <w:rFonts w:asciiTheme="minorHAnsi" w:hAnsiTheme="minorHAnsi" w:cstheme="minorHAnsi"/>
        </w:rPr>
        <w:t>ll as some extensions of timelines on</w:t>
      </w:r>
      <w:r w:rsidR="0035741A" w:rsidRPr="00756DAC">
        <w:rPr>
          <w:rFonts w:asciiTheme="minorHAnsi" w:hAnsiTheme="minorHAnsi" w:cstheme="minorHAnsi"/>
        </w:rPr>
        <w:t xml:space="preserve"> ongoing engagements</w:t>
      </w:r>
      <w:r w:rsidR="00CC1104">
        <w:rPr>
          <w:rFonts w:asciiTheme="minorHAnsi" w:hAnsiTheme="minorHAnsi" w:cstheme="minorHAnsi"/>
        </w:rPr>
        <w:t>.</w:t>
      </w:r>
      <w:r w:rsidR="0035741A" w:rsidRPr="00756DAC">
        <w:rPr>
          <w:rFonts w:asciiTheme="minorHAnsi" w:hAnsiTheme="minorHAnsi" w:cstheme="minorHAnsi"/>
        </w:rPr>
        <w:t xml:space="preserve"> (All growth rates</w:t>
      </w:r>
      <w:r w:rsidR="0035741A">
        <w:rPr>
          <w:rFonts w:asciiTheme="minorHAnsi" w:hAnsiTheme="minorHAnsi" w:cstheme="minorHAnsi"/>
        </w:rPr>
        <w:t xml:space="preserve"> are</w:t>
      </w:r>
      <w:r w:rsidR="0035741A" w:rsidRPr="00756DAC">
        <w:rPr>
          <w:rFonts w:asciiTheme="minorHAnsi" w:hAnsiTheme="minorHAnsi" w:cstheme="minorHAnsi"/>
        </w:rPr>
        <w:t xml:space="preserve"> at constant currencies</w:t>
      </w:r>
      <w:r w:rsidR="0035741A">
        <w:rPr>
          <w:rFonts w:asciiTheme="minorHAnsi" w:hAnsiTheme="minorHAnsi" w:cstheme="minorHAnsi"/>
        </w:rPr>
        <w:t>.)</w:t>
      </w:r>
    </w:p>
    <w:p w14:paraId="42DEF9F0" w14:textId="41BC4DA9" w:rsidR="0036477B" w:rsidRDefault="0036477B" w:rsidP="00DF4742">
      <w:pPr>
        <w:jc w:val="both"/>
        <w:rPr>
          <w:rFonts w:asciiTheme="minorHAnsi" w:hAnsiTheme="minorHAnsi" w:cstheme="minorHAnsi"/>
        </w:rPr>
      </w:pPr>
    </w:p>
    <w:p w14:paraId="6FFC1945" w14:textId="77777777" w:rsidR="0036477B" w:rsidRPr="00E26714" w:rsidRDefault="0036477B" w:rsidP="00DF4742">
      <w:pPr>
        <w:jc w:val="both"/>
        <w:rPr>
          <w:rFonts w:asciiTheme="minorHAnsi" w:hAnsiTheme="minorHAnsi" w:cstheme="minorHAnsi"/>
        </w:rPr>
      </w:pPr>
    </w:p>
    <w:p w14:paraId="6C5D669E" w14:textId="63EA6228" w:rsidR="00DF4742" w:rsidRPr="00E26714" w:rsidRDefault="00BD4938" w:rsidP="00DF4742">
      <w:pPr>
        <w:jc w:val="both"/>
        <w:rPr>
          <w:rFonts w:asciiTheme="minorHAnsi" w:hAnsiTheme="minorHAnsi" w:cstheme="minorHAnsi"/>
          <w:b/>
        </w:rPr>
      </w:pPr>
      <w:r w:rsidRPr="00E26714">
        <w:rPr>
          <w:rFonts w:asciiTheme="minorHAnsi" w:hAnsiTheme="minorHAnsi" w:cstheme="minorHAnsi"/>
          <w:b/>
        </w:rPr>
        <w:t>Q</w:t>
      </w:r>
      <w:r w:rsidR="00CA4FE1">
        <w:rPr>
          <w:rFonts w:asciiTheme="minorHAnsi" w:hAnsiTheme="minorHAnsi" w:cstheme="minorHAnsi"/>
          <w:b/>
        </w:rPr>
        <w:t>2</w:t>
      </w:r>
      <w:r w:rsidR="00DF4742" w:rsidRPr="00E26714">
        <w:rPr>
          <w:rFonts w:asciiTheme="minorHAnsi" w:hAnsiTheme="minorHAnsi" w:cstheme="minorHAnsi"/>
          <w:b/>
        </w:rPr>
        <w:t xml:space="preserve"> Operating Review</w:t>
      </w:r>
      <w:r w:rsidR="00314798" w:rsidRPr="00314798">
        <w:rPr>
          <w:rFonts w:cstheme="minorHAnsi"/>
        </w:rPr>
        <w:t xml:space="preserve"> </w:t>
      </w:r>
    </w:p>
    <w:p w14:paraId="5636A20D" w14:textId="77777777" w:rsidR="00DF4742" w:rsidRPr="00E26714" w:rsidRDefault="00DF4742" w:rsidP="00DF4742">
      <w:pPr>
        <w:jc w:val="both"/>
        <w:rPr>
          <w:rFonts w:asciiTheme="minorHAnsi" w:hAnsiTheme="minorHAnsi" w:cstheme="minorHAnsi"/>
        </w:rPr>
      </w:pPr>
    </w:p>
    <w:p w14:paraId="08F3A0DF" w14:textId="4E80A1A9" w:rsidR="00DF4742" w:rsidRPr="00E26714" w:rsidRDefault="006F1DA9" w:rsidP="00DF4742">
      <w:pPr>
        <w:jc w:val="both"/>
        <w:rPr>
          <w:rFonts w:asciiTheme="minorHAnsi" w:hAnsiTheme="minorHAnsi" w:cstheme="minorHAnsi"/>
        </w:rPr>
      </w:pPr>
      <w:r w:rsidRPr="00E26714">
        <w:rPr>
          <w:rFonts w:asciiTheme="minorHAnsi" w:hAnsiTheme="minorHAnsi" w:cstheme="minorHAnsi"/>
        </w:rPr>
        <w:t>•</w:t>
      </w:r>
      <w:r w:rsidRPr="00E26714">
        <w:rPr>
          <w:rFonts w:asciiTheme="minorHAnsi" w:hAnsiTheme="minorHAnsi" w:cstheme="minorHAnsi"/>
        </w:rPr>
        <w:tab/>
      </w:r>
      <w:r w:rsidR="00E77F34">
        <w:rPr>
          <w:rFonts w:asciiTheme="minorHAnsi" w:hAnsiTheme="minorHAnsi" w:cstheme="minorHAnsi"/>
        </w:rPr>
        <w:t xml:space="preserve">On an IFRS basis, </w:t>
      </w:r>
      <w:r w:rsidR="00E77F34" w:rsidRPr="00E77F34">
        <w:rPr>
          <w:rFonts w:asciiTheme="minorHAnsi" w:hAnsiTheme="minorHAnsi" w:cstheme="minorHAnsi"/>
        </w:rPr>
        <w:t>o</w:t>
      </w:r>
      <w:r w:rsidRPr="00314798">
        <w:rPr>
          <w:rFonts w:asciiTheme="minorHAnsi" w:hAnsiTheme="minorHAnsi" w:cstheme="minorHAnsi"/>
        </w:rPr>
        <w:t>perating income de</w:t>
      </w:r>
      <w:r w:rsidR="00DF4742" w:rsidRPr="00314798">
        <w:rPr>
          <w:rFonts w:asciiTheme="minorHAnsi" w:hAnsiTheme="minorHAnsi" w:cstheme="minorHAnsi"/>
        </w:rPr>
        <w:t xml:space="preserve">creased </w:t>
      </w:r>
      <w:r w:rsidR="00532526">
        <w:rPr>
          <w:rFonts w:asciiTheme="minorHAnsi" w:hAnsiTheme="minorHAnsi" w:cstheme="minorHAnsi"/>
        </w:rPr>
        <w:t>39</w:t>
      </w:r>
      <w:r w:rsidR="00314798">
        <w:rPr>
          <w:rFonts w:asciiTheme="minorHAnsi" w:hAnsiTheme="minorHAnsi" w:cstheme="minorHAnsi"/>
        </w:rPr>
        <w:t>%</w:t>
      </w:r>
      <w:r w:rsidR="00531DE6">
        <w:rPr>
          <w:rFonts w:asciiTheme="minorHAnsi" w:hAnsiTheme="minorHAnsi" w:cstheme="minorHAnsi"/>
        </w:rPr>
        <w:t>, reflecting the impact of acquire</w:t>
      </w:r>
      <w:r w:rsidR="006C3900">
        <w:rPr>
          <w:rFonts w:asciiTheme="minorHAnsi" w:hAnsiTheme="minorHAnsi" w:cstheme="minorHAnsi"/>
        </w:rPr>
        <w:t>d amortization intangibles. Non-IFRS operating income decreased 3</w:t>
      </w:r>
      <w:r w:rsidR="00CE4402">
        <w:rPr>
          <w:rFonts w:asciiTheme="minorHAnsi" w:hAnsiTheme="minorHAnsi" w:cstheme="minorHAnsi"/>
        </w:rPr>
        <w:t xml:space="preserve">% </w:t>
      </w:r>
      <w:r w:rsidR="006C3900">
        <w:rPr>
          <w:rFonts w:asciiTheme="minorHAnsi" w:hAnsiTheme="minorHAnsi" w:cstheme="minorHAnsi"/>
        </w:rPr>
        <w:t xml:space="preserve">to €286.2 </w:t>
      </w:r>
      <w:r w:rsidR="00CE4402">
        <w:rPr>
          <w:rFonts w:asciiTheme="minorHAnsi" w:hAnsiTheme="minorHAnsi" w:cstheme="minorHAnsi"/>
        </w:rPr>
        <w:t xml:space="preserve">million. </w:t>
      </w:r>
      <w:r w:rsidR="00DF4742" w:rsidRPr="00E26714">
        <w:rPr>
          <w:rFonts w:asciiTheme="minorHAnsi" w:hAnsiTheme="minorHAnsi" w:cstheme="minorHAnsi"/>
        </w:rPr>
        <w:t>The non-IFRS op</w:t>
      </w:r>
      <w:r w:rsidR="00B773A6" w:rsidRPr="00E26714">
        <w:rPr>
          <w:rFonts w:asciiTheme="minorHAnsi" w:hAnsiTheme="minorHAnsi" w:cstheme="minorHAnsi"/>
        </w:rPr>
        <w:t>erating margin</w:t>
      </w:r>
      <w:r w:rsidR="00376EA6" w:rsidRPr="00E26714">
        <w:rPr>
          <w:rFonts w:asciiTheme="minorHAnsi" w:hAnsiTheme="minorHAnsi" w:cstheme="minorHAnsi"/>
        </w:rPr>
        <w:t xml:space="preserve"> </w:t>
      </w:r>
      <w:r w:rsidR="005956A5" w:rsidRPr="00E26714">
        <w:rPr>
          <w:rFonts w:asciiTheme="minorHAnsi" w:hAnsiTheme="minorHAnsi" w:cstheme="minorHAnsi"/>
        </w:rPr>
        <w:t>of</w:t>
      </w:r>
      <w:r w:rsidR="0099730C">
        <w:rPr>
          <w:rFonts w:asciiTheme="minorHAnsi" w:hAnsiTheme="minorHAnsi" w:cstheme="minorHAnsi"/>
        </w:rPr>
        <w:t xml:space="preserve"> 26.7</w:t>
      </w:r>
      <w:r w:rsidR="00522DD8" w:rsidRPr="00E26714">
        <w:rPr>
          <w:rFonts w:asciiTheme="minorHAnsi" w:hAnsiTheme="minorHAnsi" w:cstheme="minorHAnsi"/>
        </w:rPr>
        <w:t>%</w:t>
      </w:r>
      <w:r w:rsidR="0099730C">
        <w:rPr>
          <w:rFonts w:asciiTheme="minorHAnsi" w:hAnsiTheme="minorHAnsi" w:cstheme="minorHAnsi"/>
        </w:rPr>
        <w:t xml:space="preserve"> came in above the</w:t>
      </w:r>
      <w:r w:rsidR="005B77BD">
        <w:rPr>
          <w:rFonts w:asciiTheme="minorHAnsi" w:hAnsiTheme="minorHAnsi" w:cstheme="minorHAnsi"/>
        </w:rPr>
        <w:t xml:space="preserve"> high end of</w:t>
      </w:r>
      <w:r w:rsidR="005956A5" w:rsidRPr="00E26714">
        <w:rPr>
          <w:rFonts w:asciiTheme="minorHAnsi" w:hAnsiTheme="minorHAnsi" w:cstheme="minorHAnsi"/>
        </w:rPr>
        <w:t xml:space="preserve"> the </w:t>
      </w:r>
      <w:r w:rsidR="00A3242C" w:rsidRPr="00E26714">
        <w:rPr>
          <w:rFonts w:asciiTheme="minorHAnsi" w:hAnsiTheme="minorHAnsi" w:cstheme="minorHAnsi"/>
        </w:rPr>
        <w:t xml:space="preserve">Group’s </w:t>
      </w:r>
      <w:r w:rsidR="005956A5" w:rsidRPr="00E26714">
        <w:rPr>
          <w:rFonts w:asciiTheme="minorHAnsi" w:hAnsiTheme="minorHAnsi" w:cstheme="minorHAnsi"/>
        </w:rPr>
        <w:t>guidance</w:t>
      </w:r>
      <w:r w:rsidR="00314798">
        <w:rPr>
          <w:rFonts w:asciiTheme="minorHAnsi" w:hAnsiTheme="minorHAnsi" w:cstheme="minorHAnsi"/>
        </w:rPr>
        <w:t xml:space="preserve"> range</w:t>
      </w:r>
      <w:r w:rsidR="0099730C">
        <w:rPr>
          <w:rFonts w:asciiTheme="minorHAnsi" w:hAnsiTheme="minorHAnsi" w:cstheme="minorHAnsi"/>
        </w:rPr>
        <w:t xml:space="preserve"> of 25.0% to 26.5</w:t>
      </w:r>
      <w:r w:rsidR="005B77BD">
        <w:rPr>
          <w:rFonts w:asciiTheme="minorHAnsi" w:hAnsiTheme="minorHAnsi" w:cstheme="minorHAnsi"/>
        </w:rPr>
        <w:t>%</w:t>
      </w:r>
      <w:r w:rsidR="006C3900">
        <w:rPr>
          <w:rFonts w:asciiTheme="minorHAnsi" w:hAnsiTheme="minorHAnsi" w:cstheme="minorHAnsi"/>
        </w:rPr>
        <w:t xml:space="preserve"> on a strong operational focus</w:t>
      </w:r>
      <w:r w:rsidR="00AB5B3F" w:rsidRPr="00E26714">
        <w:rPr>
          <w:rFonts w:asciiTheme="minorHAnsi" w:hAnsiTheme="minorHAnsi" w:cstheme="minorHAnsi"/>
        </w:rPr>
        <w:t>.</w:t>
      </w:r>
      <w:r w:rsidR="00DF4742" w:rsidRPr="00E26714">
        <w:rPr>
          <w:rFonts w:asciiTheme="minorHAnsi" w:hAnsiTheme="minorHAnsi" w:cstheme="minorHAnsi"/>
        </w:rPr>
        <w:t xml:space="preserve"> </w:t>
      </w:r>
    </w:p>
    <w:p w14:paraId="056F3DD1" w14:textId="77777777" w:rsidR="00711175" w:rsidRPr="00E26714" w:rsidRDefault="00711175" w:rsidP="00DF4742">
      <w:pPr>
        <w:jc w:val="both"/>
        <w:rPr>
          <w:rFonts w:asciiTheme="minorHAnsi" w:hAnsiTheme="minorHAnsi" w:cstheme="minorHAnsi"/>
        </w:rPr>
      </w:pPr>
    </w:p>
    <w:p w14:paraId="0A982AF2" w14:textId="5ED91C25" w:rsidR="005E7B02" w:rsidRDefault="00DF4742" w:rsidP="0036477B">
      <w:pPr>
        <w:jc w:val="both"/>
        <w:rPr>
          <w:rFonts w:asciiTheme="minorHAnsi" w:hAnsiTheme="minorHAnsi" w:cstheme="minorHAnsi"/>
        </w:rPr>
      </w:pPr>
      <w:r w:rsidRPr="003C12D8">
        <w:rPr>
          <w:rFonts w:asciiTheme="minorHAnsi" w:hAnsiTheme="minorHAnsi" w:cstheme="minorHAnsi"/>
        </w:rPr>
        <w:t>•</w:t>
      </w:r>
      <w:r w:rsidRPr="003C12D8">
        <w:rPr>
          <w:rFonts w:asciiTheme="minorHAnsi" w:hAnsiTheme="minorHAnsi" w:cstheme="minorHAnsi"/>
        </w:rPr>
        <w:tab/>
        <w:t>IFRS diluted n</w:t>
      </w:r>
      <w:r w:rsidR="002902D3" w:rsidRPr="003C12D8">
        <w:rPr>
          <w:rFonts w:asciiTheme="minorHAnsi" w:hAnsiTheme="minorHAnsi" w:cstheme="minorHAnsi"/>
        </w:rPr>
        <w:t>et income per share</w:t>
      </w:r>
      <w:r w:rsidR="006C3900">
        <w:rPr>
          <w:rFonts w:asciiTheme="minorHAnsi" w:hAnsiTheme="minorHAnsi" w:cstheme="minorHAnsi"/>
        </w:rPr>
        <w:t xml:space="preserve"> was €0.32, decreasing</w:t>
      </w:r>
      <w:r w:rsidR="002902D3" w:rsidRPr="003C12D8">
        <w:rPr>
          <w:rFonts w:asciiTheme="minorHAnsi" w:hAnsiTheme="minorHAnsi" w:cstheme="minorHAnsi"/>
        </w:rPr>
        <w:t xml:space="preserve"> </w:t>
      </w:r>
      <w:r w:rsidR="006C3900">
        <w:rPr>
          <w:rFonts w:asciiTheme="minorHAnsi" w:hAnsiTheme="minorHAnsi" w:cstheme="minorHAnsi"/>
        </w:rPr>
        <w:t>38</w:t>
      </w:r>
      <w:r w:rsidRPr="003C12D8">
        <w:rPr>
          <w:rFonts w:asciiTheme="minorHAnsi" w:hAnsiTheme="minorHAnsi" w:cstheme="minorHAnsi"/>
        </w:rPr>
        <w:t>%</w:t>
      </w:r>
      <w:r w:rsidR="0035741A">
        <w:rPr>
          <w:rFonts w:asciiTheme="minorHAnsi" w:hAnsiTheme="minorHAnsi" w:cstheme="minorHAnsi"/>
        </w:rPr>
        <w:t xml:space="preserve">. On a non-IFRS basis, diluted net income per share of €0.80 </w:t>
      </w:r>
      <w:r w:rsidR="006C3900">
        <w:rPr>
          <w:rFonts w:asciiTheme="minorHAnsi" w:hAnsiTheme="minorHAnsi" w:cstheme="minorHAnsi"/>
        </w:rPr>
        <w:t>was</w:t>
      </w:r>
      <w:r w:rsidR="0035741A">
        <w:rPr>
          <w:rFonts w:asciiTheme="minorHAnsi" w:hAnsiTheme="minorHAnsi" w:cstheme="minorHAnsi"/>
        </w:rPr>
        <w:t xml:space="preserve"> </w:t>
      </w:r>
      <w:r w:rsidR="00563423">
        <w:rPr>
          <w:rFonts w:asciiTheme="minorHAnsi" w:hAnsiTheme="minorHAnsi" w:cstheme="minorHAnsi"/>
        </w:rPr>
        <w:t xml:space="preserve">on </w:t>
      </w:r>
      <w:r w:rsidR="0035741A">
        <w:rPr>
          <w:rFonts w:asciiTheme="minorHAnsi" w:hAnsiTheme="minorHAnsi" w:cstheme="minorHAnsi"/>
        </w:rPr>
        <w:t xml:space="preserve">the high end of the </w:t>
      </w:r>
      <w:r w:rsidR="00CE7215">
        <w:rPr>
          <w:rFonts w:asciiTheme="minorHAnsi" w:hAnsiTheme="minorHAnsi" w:cstheme="minorHAnsi"/>
        </w:rPr>
        <w:t xml:space="preserve">Group’s guidance </w:t>
      </w:r>
      <w:r w:rsidR="0035741A">
        <w:rPr>
          <w:rFonts w:asciiTheme="minorHAnsi" w:hAnsiTheme="minorHAnsi" w:cstheme="minorHAnsi"/>
        </w:rPr>
        <w:t xml:space="preserve">range of 72 to 77 cents. </w:t>
      </w:r>
    </w:p>
    <w:p w14:paraId="4A19AF54" w14:textId="77777777" w:rsidR="0036477B" w:rsidRDefault="0036477B" w:rsidP="0036477B">
      <w:pPr>
        <w:jc w:val="both"/>
        <w:rPr>
          <w:rFonts w:asciiTheme="minorHAnsi" w:hAnsiTheme="minorHAnsi" w:cstheme="minorHAnsi"/>
          <w:b/>
          <w:sz w:val="24"/>
        </w:rPr>
      </w:pPr>
    </w:p>
    <w:p w14:paraId="264F6FEF" w14:textId="77777777" w:rsidR="0036477B" w:rsidRDefault="0036477B">
      <w:pPr>
        <w:spacing w:after="200" w:line="276" w:lineRule="auto"/>
        <w:rPr>
          <w:rFonts w:asciiTheme="minorHAnsi" w:hAnsiTheme="minorHAnsi" w:cstheme="minorHAnsi"/>
          <w:b/>
          <w:sz w:val="24"/>
        </w:rPr>
      </w:pPr>
      <w:r>
        <w:rPr>
          <w:rFonts w:asciiTheme="minorHAnsi" w:hAnsiTheme="minorHAnsi" w:cstheme="minorHAnsi"/>
          <w:b/>
          <w:sz w:val="24"/>
        </w:rPr>
        <w:br w:type="page"/>
      </w:r>
    </w:p>
    <w:p w14:paraId="51B26F19" w14:textId="11AFF4CF" w:rsidR="00F244C4" w:rsidRDefault="001150E3" w:rsidP="00C14603">
      <w:pPr>
        <w:tabs>
          <w:tab w:val="left" w:pos="-720"/>
        </w:tabs>
        <w:suppressAutoHyphens/>
        <w:jc w:val="center"/>
        <w:rPr>
          <w:rFonts w:asciiTheme="minorHAnsi" w:hAnsiTheme="minorHAnsi" w:cstheme="minorHAnsi"/>
          <w:b/>
          <w:sz w:val="24"/>
        </w:rPr>
      </w:pPr>
      <w:r>
        <w:rPr>
          <w:rFonts w:asciiTheme="minorHAnsi" w:hAnsiTheme="minorHAnsi" w:cstheme="minorHAnsi"/>
          <w:b/>
          <w:sz w:val="24"/>
        </w:rPr>
        <w:t>First Half</w:t>
      </w:r>
      <w:r w:rsidR="00366201" w:rsidRPr="000301B3">
        <w:rPr>
          <w:rFonts w:asciiTheme="minorHAnsi" w:hAnsiTheme="minorHAnsi" w:cstheme="minorHAnsi"/>
          <w:b/>
          <w:sz w:val="24"/>
        </w:rPr>
        <w:t xml:space="preserve"> 2020 versus 2019 Financial Comparisons</w:t>
      </w:r>
    </w:p>
    <w:p w14:paraId="473E4030" w14:textId="3A314B34" w:rsidR="00C14603" w:rsidRPr="0005016A" w:rsidRDefault="00C14603" w:rsidP="0030605B">
      <w:pPr>
        <w:tabs>
          <w:tab w:val="left" w:pos="-720"/>
        </w:tabs>
        <w:suppressAutoHyphens/>
        <w:spacing w:after="240"/>
        <w:jc w:val="center"/>
        <w:rPr>
          <w:rFonts w:asciiTheme="minorHAnsi" w:eastAsia="MS Mincho" w:hAnsiTheme="minorHAnsi" w:cstheme="minorHAnsi"/>
          <w:bCs/>
          <w:color w:val="000000"/>
          <w:sz w:val="14"/>
          <w:szCs w:val="14"/>
          <w:vertAlign w:val="superscript"/>
          <w:lang w:val="en-GB" w:bidi="he-IL"/>
        </w:rPr>
      </w:pPr>
      <w:r w:rsidRPr="00E26714">
        <w:rPr>
          <w:rFonts w:asciiTheme="minorHAnsi" w:hAnsiTheme="minorHAnsi" w:cstheme="minorHAnsi"/>
        </w:rPr>
        <w:t>(Unaudited)</w:t>
      </w:r>
    </w:p>
    <w:tbl>
      <w:tblPr>
        <w:tblW w:w="9351" w:type="dxa"/>
        <w:tblLayout w:type="fixed"/>
        <w:tblLook w:val="04A0" w:firstRow="1" w:lastRow="0" w:firstColumn="1" w:lastColumn="0" w:noHBand="0" w:noVBand="1"/>
      </w:tblPr>
      <w:tblGrid>
        <w:gridCol w:w="1980"/>
        <w:gridCol w:w="283"/>
        <w:gridCol w:w="851"/>
        <w:gridCol w:w="850"/>
        <w:gridCol w:w="851"/>
        <w:gridCol w:w="850"/>
        <w:gridCol w:w="284"/>
        <w:gridCol w:w="850"/>
        <w:gridCol w:w="851"/>
        <w:gridCol w:w="850"/>
        <w:gridCol w:w="851"/>
      </w:tblGrid>
      <w:tr w:rsidR="00CC7D36" w:rsidRPr="00CA4A72" w14:paraId="7A0945C5" w14:textId="77777777" w:rsidTr="00CC7D36">
        <w:trPr>
          <w:trHeight w:val="255"/>
        </w:trPr>
        <w:tc>
          <w:tcPr>
            <w:tcW w:w="1980" w:type="dxa"/>
            <w:vMerge w:val="restart"/>
            <w:tcBorders>
              <w:top w:val="single" w:sz="4" w:space="0" w:color="auto"/>
              <w:left w:val="single" w:sz="4" w:space="0" w:color="auto"/>
              <w:bottom w:val="single" w:sz="4" w:space="0" w:color="000000"/>
              <w:right w:val="single" w:sz="4" w:space="0" w:color="auto"/>
            </w:tcBorders>
            <w:vAlign w:val="center"/>
            <w:hideMark/>
          </w:tcPr>
          <w:p w14:paraId="60FB7F80" w14:textId="77777777" w:rsidR="00CC7D36" w:rsidRPr="00CA4A72" w:rsidRDefault="00CC7D36" w:rsidP="00CC7D36">
            <w:pPr>
              <w:spacing w:line="276" w:lineRule="auto"/>
              <w:jc w:val="center"/>
              <w:rPr>
                <w:rFonts w:asciiTheme="minorHAnsi" w:eastAsia="Times New Roman" w:hAnsiTheme="minorHAnsi" w:cstheme="minorHAnsi"/>
                <w:sz w:val="14"/>
                <w:szCs w:val="14"/>
                <w:lang w:eastAsia="en-GB"/>
              </w:rPr>
            </w:pPr>
            <w:r w:rsidRPr="00CA4A72">
              <w:rPr>
                <w:rFonts w:asciiTheme="minorHAnsi" w:hAnsiTheme="minorHAnsi" w:cstheme="minorHAnsi"/>
                <w:sz w:val="14"/>
                <w:szCs w:val="14"/>
              </w:rPr>
              <w:t xml:space="preserve">In millions of Euros, </w:t>
            </w:r>
            <w:r w:rsidRPr="00CA4A72">
              <w:rPr>
                <w:rFonts w:asciiTheme="minorHAnsi" w:hAnsiTheme="minorHAnsi" w:cstheme="minorHAnsi"/>
                <w:sz w:val="14"/>
                <w:szCs w:val="14"/>
              </w:rPr>
              <w:br/>
              <w:t>except per share data and percentages</w:t>
            </w:r>
          </w:p>
        </w:tc>
        <w:tc>
          <w:tcPr>
            <w:tcW w:w="283" w:type="dxa"/>
            <w:noWrap/>
            <w:vAlign w:val="bottom"/>
          </w:tcPr>
          <w:p w14:paraId="2B574D0F" w14:textId="77777777" w:rsidR="00CC7D36" w:rsidRPr="00CA4A72" w:rsidRDefault="00CC7D36" w:rsidP="00CC7D36">
            <w:pPr>
              <w:spacing w:line="276" w:lineRule="auto"/>
              <w:jc w:val="center"/>
              <w:rPr>
                <w:rFonts w:asciiTheme="minorHAnsi" w:eastAsia="Times New Roman" w:hAnsiTheme="minorHAnsi" w:cstheme="minorHAnsi"/>
                <w:sz w:val="14"/>
                <w:szCs w:val="14"/>
                <w:lang w:eastAsia="en-GB"/>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F340014"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eastAsia="Times New Roman" w:hAnsiTheme="minorHAnsi" w:cstheme="minorHAnsi"/>
                <w:b/>
                <w:bCs/>
                <w:sz w:val="14"/>
                <w:szCs w:val="14"/>
                <w:lang w:eastAsia="en-GB"/>
              </w:rPr>
              <w:t xml:space="preserve">IFRS </w:t>
            </w:r>
          </w:p>
        </w:tc>
        <w:tc>
          <w:tcPr>
            <w:tcW w:w="284" w:type="dxa"/>
            <w:noWrap/>
            <w:vAlign w:val="bottom"/>
          </w:tcPr>
          <w:p w14:paraId="18F3F1FC"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197078B"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eastAsia="Times New Roman" w:hAnsiTheme="minorHAnsi" w:cstheme="minorHAnsi"/>
                <w:b/>
                <w:bCs/>
                <w:sz w:val="14"/>
                <w:szCs w:val="14"/>
                <w:lang w:eastAsia="en-GB"/>
              </w:rPr>
              <w:t>Non-IFRS</w:t>
            </w:r>
          </w:p>
        </w:tc>
      </w:tr>
      <w:tr w:rsidR="00CC7D36" w:rsidRPr="00CA4A72" w14:paraId="44D21F95" w14:textId="77777777" w:rsidTr="00CC7D36">
        <w:trPr>
          <w:trHeight w:val="420"/>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50C69472" w14:textId="77777777" w:rsidR="00CC7D36" w:rsidRPr="00CA4A72" w:rsidRDefault="00CC7D36" w:rsidP="00CC7D36">
            <w:pPr>
              <w:spacing w:line="276" w:lineRule="auto"/>
              <w:rPr>
                <w:rFonts w:asciiTheme="minorHAnsi" w:eastAsia="Times New Roman" w:hAnsiTheme="minorHAnsi" w:cstheme="minorHAnsi"/>
                <w:sz w:val="14"/>
                <w:szCs w:val="14"/>
                <w:lang w:eastAsia="en-GB"/>
              </w:rPr>
            </w:pPr>
          </w:p>
        </w:tc>
        <w:tc>
          <w:tcPr>
            <w:tcW w:w="283" w:type="dxa"/>
            <w:noWrap/>
            <w:vAlign w:val="bottom"/>
          </w:tcPr>
          <w:p w14:paraId="6D39B93F"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48BF0"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hAnsiTheme="minorHAnsi" w:cstheme="minorHAnsi"/>
                <w:b/>
                <w:bCs/>
                <w:sz w:val="14"/>
                <w:szCs w:val="14"/>
              </w:rPr>
              <w:t>YTD 2020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F95F50"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hAnsiTheme="minorHAnsi" w:cstheme="minorHAnsi"/>
                <w:b/>
                <w:bCs/>
                <w:sz w:val="14"/>
                <w:szCs w:val="16"/>
              </w:rPr>
              <w:t>YTD 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ECA53D5"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hAnsiTheme="minorHAnsi" w:cstheme="minorHAnsi"/>
                <w:b/>
                <w:bCs/>
                <w:sz w:val="14"/>
                <w:szCs w:val="14"/>
              </w:rPr>
              <w:t>Change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2FEEF11"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Pr>
                <w:rFonts w:asciiTheme="minorHAnsi" w:hAnsiTheme="minorHAnsi" w:cstheme="minorHAnsi"/>
                <w:b/>
                <w:bCs/>
                <w:sz w:val="14"/>
                <w:szCs w:val="14"/>
              </w:rPr>
              <w:t xml:space="preserve">Change in </w:t>
            </w:r>
            <w:r w:rsidRPr="00F940FF">
              <w:rPr>
                <w:rFonts w:asciiTheme="minorHAnsi" w:hAnsiTheme="minorHAnsi" w:cstheme="minorHAnsi"/>
                <w:b/>
                <w:bCs/>
                <w:sz w:val="14"/>
                <w:szCs w:val="14"/>
              </w:rPr>
              <w:t>constant currencies</w:t>
            </w:r>
          </w:p>
        </w:tc>
        <w:tc>
          <w:tcPr>
            <w:tcW w:w="284" w:type="dxa"/>
            <w:noWrap/>
            <w:vAlign w:val="bottom"/>
          </w:tcPr>
          <w:p w14:paraId="59262D1A"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D14B1"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hAnsiTheme="minorHAnsi" w:cstheme="minorHAnsi"/>
                <w:b/>
                <w:bCs/>
                <w:sz w:val="14"/>
                <w:szCs w:val="14"/>
              </w:rPr>
              <w:t>YTD 2020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2D2F8067"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hAnsiTheme="minorHAnsi" w:cstheme="minorHAnsi"/>
                <w:b/>
                <w:bCs/>
                <w:sz w:val="14"/>
                <w:szCs w:val="16"/>
              </w:rPr>
              <w:t>YTD 2019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25DA871"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hAnsiTheme="minorHAnsi" w:cstheme="minorHAnsi"/>
                <w:b/>
                <w:bCs/>
                <w:sz w:val="14"/>
                <w:szCs w:val="14"/>
              </w:rPr>
              <w:t>Change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E13B34B"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Pr>
                <w:rFonts w:asciiTheme="minorHAnsi" w:hAnsiTheme="minorHAnsi" w:cstheme="minorHAnsi"/>
                <w:b/>
                <w:bCs/>
                <w:sz w:val="14"/>
                <w:szCs w:val="14"/>
              </w:rPr>
              <w:t xml:space="preserve">Change in </w:t>
            </w:r>
            <w:r w:rsidRPr="00F940FF">
              <w:rPr>
                <w:rFonts w:asciiTheme="minorHAnsi" w:hAnsiTheme="minorHAnsi" w:cstheme="minorHAnsi"/>
                <w:b/>
                <w:bCs/>
                <w:sz w:val="14"/>
                <w:szCs w:val="14"/>
              </w:rPr>
              <w:t>constant currencies</w:t>
            </w:r>
          </w:p>
        </w:tc>
      </w:tr>
      <w:tr w:rsidR="00CC7D36" w:rsidRPr="00CA4A72" w14:paraId="5B0CC767" w14:textId="77777777" w:rsidTr="00CC7D36">
        <w:trPr>
          <w:trHeight w:val="227"/>
        </w:trPr>
        <w:tc>
          <w:tcPr>
            <w:tcW w:w="1980" w:type="dxa"/>
            <w:tcBorders>
              <w:top w:val="single" w:sz="4" w:space="0" w:color="auto"/>
              <w:left w:val="single" w:sz="4" w:space="0" w:color="auto"/>
              <w:bottom w:val="single" w:sz="4" w:space="0" w:color="auto"/>
              <w:right w:val="single" w:sz="4" w:space="0" w:color="auto"/>
            </w:tcBorders>
            <w:vAlign w:val="center"/>
            <w:hideMark/>
          </w:tcPr>
          <w:p w14:paraId="4C128114" w14:textId="77777777" w:rsidR="00CC7D36" w:rsidRPr="00CA4A72" w:rsidRDefault="00CC7D36" w:rsidP="00CC7D36">
            <w:pPr>
              <w:spacing w:line="276" w:lineRule="auto"/>
              <w:rPr>
                <w:rFonts w:asciiTheme="minorHAnsi" w:eastAsia="Times New Roman" w:hAnsiTheme="minorHAnsi" w:cstheme="minorHAnsi"/>
                <w:sz w:val="14"/>
                <w:szCs w:val="14"/>
                <w:lang w:eastAsia="en-GB"/>
              </w:rPr>
            </w:pPr>
            <w:r w:rsidRPr="00CA4A72">
              <w:rPr>
                <w:rFonts w:asciiTheme="minorHAnsi" w:hAnsiTheme="minorHAnsi" w:cstheme="minorHAnsi"/>
                <w:sz w:val="14"/>
                <w:szCs w:val="14"/>
              </w:rPr>
              <w:t>Total Revenue</w:t>
            </w:r>
          </w:p>
        </w:tc>
        <w:tc>
          <w:tcPr>
            <w:tcW w:w="283" w:type="dxa"/>
            <w:noWrap/>
            <w:vAlign w:val="bottom"/>
          </w:tcPr>
          <w:p w14:paraId="7CEEAFF5" w14:textId="77777777" w:rsidR="00CC7D36" w:rsidRPr="00CA4A72" w:rsidRDefault="00CC7D36" w:rsidP="00CC7D36">
            <w:pPr>
              <w:spacing w:line="276" w:lineRule="auto"/>
              <w:ind w:firstLineChars="100" w:firstLine="140"/>
              <w:rPr>
                <w:rFonts w:asciiTheme="minorHAnsi" w:eastAsia="Times New Roman" w:hAnsiTheme="minorHAnsi" w:cstheme="minorHAnsi"/>
                <w:sz w:val="14"/>
                <w:szCs w:val="14"/>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E14615"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2,203.3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4A8C0A"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1,920.3</w:t>
            </w:r>
          </w:p>
        </w:tc>
        <w:tc>
          <w:tcPr>
            <w:tcW w:w="851" w:type="dxa"/>
            <w:tcBorders>
              <w:top w:val="single" w:sz="4" w:space="0" w:color="auto"/>
              <w:left w:val="nil"/>
              <w:bottom w:val="single" w:sz="4" w:space="0" w:color="auto"/>
              <w:right w:val="single" w:sz="4" w:space="0" w:color="auto"/>
            </w:tcBorders>
            <w:shd w:val="clear" w:color="auto" w:fill="auto"/>
            <w:vAlign w:val="center"/>
          </w:tcPr>
          <w:p w14:paraId="12EB3194"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15%</w:t>
            </w:r>
          </w:p>
        </w:tc>
        <w:tc>
          <w:tcPr>
            <w:tcW w:w="850" w:type="dxa"/>
            <w:tcBorders>
              <w:top w:val="single" w:sz="4" w:space="0" w:color="auto"/>
              <w:left w:val="nil"/>
              <w:bottom w:val="single" w:sz="4" w:space="0" w:color="auto"/>
              <w:right w:val="single" w:sz="4" w:space="0" w:color="auto"/>
            </w:tcBorders>
            <w:shd w:val="clear" w:color="auto" w:fill="auto"/>
            <w:vAlign w:val="center"/>
          </w:tcPr>
          <w:p w14:paraId="63D9BB5A"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r w:rsidRPr="00702A32">
              <w:rPr>
                <w:rFonts w:asciiTheme="minorHAnsi" w:hAnsiTheme="minorHAnsi" w:cstheme="minorHAnsi"/>
                <w:color w:val="000000"/>
                <w:sz w:val="14"/>
                <w:szCs w:val="14"/>
              </w:rPr>
              <w:t>14%</w:t>
            </w:r>
          </w:p>
        </w:tc>
        <w:tc>
          <w:tcPr>
            <w:tcW w:w="284" w:type="dxa"/>
            <w:noWrap/>
            <w:vAlign w:val="center"/>
          </w:tcPr>
          <w:p w14:paraId="32F55B90"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C6846C"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2,215.0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D2E64C"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1,929.4</w:t>
            </w:r>
          </w:p>
        </w:tc>
        <w:tc>
          <w:tcPr>
            <w:tcW w:w="850" w:type="dxa"/>
            <w:tcBorders>
              <w:top w:val="single" w:sz="4" w:space="0" w:color="auto"/>
              <w:left w:val="nil"/>
              <w:bottom w:val="single" w:sz="4" w:space="0" w:color="auto"/>
              <w:right w:val="single" w:sz="4" w:space="0" w:color="auto"/>
            </w:tcBorders>
            <w:shd w:val="clear" w:color="auto" w:fill="auto"/>
            <w:vAlign w:val="center"/>
          </w:tcPr>
          <w:p w14:paraId="78D9BAE3"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53E38908"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r w:rsidRPr="00702A32">
              <w:rPr>
                <w:rFonts w:asciiTheme="minorHAnsi" w:hAnsiTheme="minorHAnsi" w:cstheme="minorHAnsi"/>
                <w:color w:val="000000"/>
                <w:sz w:val="14"/>
                <w:szCs w:val="14"/>
              </w:rPr>
              <w:t>14%</w:t>
            </w:r>
          </w:p>
        </w:tc>
      </w:tr>
      <w:tr w:rsidR="00CC7D36" w:rsidRPr="00CA4A72" w14:paraId="0B417CF7" w14:textId="77777777" w:rsidTr="00CC7D36">
        <w:trPr>
          <w:trHeight w:val="227"/>
        </w:trPr>
        <w:tc>
          <w:tcPr>
            <w:tcW w:w="1980" w:type="dxa"/>
            <w:tcBorders>
              <w:top w:val="nil"/>
              <w:left w:val="single" w:sz="4" w:space="0" w:color="auto"/>
              <w:bottom w:val="single" w:sz="4" w:space="0" w:color="auto"/>
              <w:right w:val="single" w:sz="4" w:space="0" w:color="auto"/>
            </w:tcBorders>
            <w:vAlign w:val="center"/>
            <w:hideMark/>
          </w:tcPr>
          <w:p w14:paraId="144AAFE9" w14:textId="77777777" w:rsidR="00CC7D36" w:rsidRPr="00CA4A72" w:rsidRDefault="00CC7D36" w:rsidP="00CC7D36">
            <w:pPr>
              <w:spacing w:line="276" w:lineRule="auto"/>
              <w:rPr>
                <w:rFonts w:asciiTheme="minorHAnsi" w:eastAsia="Times New Roman" w:hAnsiTheme="minorHAnsi" w:cstheme="minorHAnsi"/>
                <w:sz w:val="14"/>
                <w:szCs w:val="14"/>
                <w:lang w:eastAsia="en-GB"/>
              </w:rPr>
            </w:pPr>
            <w:r w:rsidRPr="00CA4A72">
              <w:rPr>
                <w:rFonts w:asciiTheme="minorHAnsi" w:hAnsiTheme="minorHAnsi" w:cstheme="minorHAnsi"/>
                <w:sz w:val="14"/>
                <w:szCs w:val="14"/>
              </w:rPr>
              <w:t>Software Revenue</w:t>
            </w:r>
          </w:p>
        </w:tc>
        <w:tc>
          <w:tcPr>
            <w:tcW w:w="283" w:type="dxa"/>
            <w:noWrap/>
            <w:vAlign w:val="bottom"/>
          </w:tcPr>
          <w:p w14:paraId="104B29EE" w14:textId="77777777" w:rsidR="00CC7D36" w:rsidRPr="00CA4A72" w:rsidRDefault="00CC7D36" w:rsidP="00CC7D36">
            <w:pPr>
              <w:spacing w:line="276" w:lineRule="auto"/>
              <w:ind w:firstLineChars="100" w:firstLine="140"/>
              <w:rPr>
                <w:rFonts w:asciiTheme="minorHAnsi" w:eastAsia="Times New Roman" w:hAnsiTheme="minorHAnsi" w:cstheme="minorHAnsi"/>
                <w:sz w:val="14"/>
                <w:szCs w:val="14"/>
                <w:lang w:eastAsia="en-GB"/>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E94505A"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1,973.0</w:t>
            </w:r>
          </w:p>
        </w:tc>
        <w:tc>
          <w:tcPr>
            <w:tcW w:w="850" w:type="dxa"/>
            <w:tcBorders>
              <w:top w:val="nil"/>
              <w:left w:val="single" w:sz="4" w:space="0" w:color="auto"/>
              <w:bottom w:val="single" w:sz="4" w:space="0" w:color="auto"/>
              <w:right w:val="single" w:sz="4" w:space="0" w:color="auto"/>
            </w:tcBorders>
            <w:shd w:val="clear" w:color="auto" w:fill="auto"/>
            <w:vAlign w:val="center"/>
          </w:tcPr>
          <w:p w14:paraId="0ADB4BB7"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1,702.7</w:t>
            </w:r>
          </w:p>
        </w:tc>
        <w:tc>
          <w:tcPr>
            <w:tcW w:w="851" w:type="dxa"/>
            <w:tcBorders>
              <w:top w:val="nil"/>
              <w:left w:val="nil"/>
              <w:bottom w:val="single" w:sz="4" w:space="0" w:color="auto"/>
              <w:right w:val="single" w:sz="4" w:space="0" w:color="auto"/>
            </w:tcBorders>
            <w:shd w:val="clear" w:color="auto" w:fill="auto"/>
            <w:vAlign w:val="center"/>
          </w:tcPr>
          <w:p w14:paraId="19F455BE"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16%</w:t>
            </w:r>
          </w:p>
        </w:tc>
        <w:tc>
          <w:tcPr>
            <w:tcW w:w="850" w:type="dxa"/>
            <w:tcBorders>
              <w:top w:val="nil"/>
              <w:left w:val="nil"/>
              <w:bottom w:val="single" w:sz="4" w:space="0" w:color="auto"/>
              <w:right w:val="single" w:sz="4" w:space="0" w:color="auto"/>
            </w:tcBorders>
            <w:shd w:val="clear" w:color="auto" w:fill="auto"/>
            <w:vAlign w:val="center"/>
          </w:tcPr>
          <w:p w14:paraId="4D8A1E95"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r w:rsidRPr="00702A32">
              <w:rPr>
                <w:rFonts w:asciiTheme="minorHAnsi" w:hAnsiTheme="minorHAnsi" w:cstheme="minorHAnsi"/>
                <w:color w:val="000000"/>
                <w:sz w:val="14"/>
                <w:szCs w:val="14"/>
              </w:rPr>
              <w:t>15%</w:t>
            </w:r>
          </w:p>
        </w:tc>
        <w:tc>
          <w:tcPr>
            <w:tcW w:w="284" w:type="dxa"/>
            <w:noWrap/>
            <w:vAlign w:val="center"/>
          </w:tcPr>
          <w:p w14:paraId="46C41BAF"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6C66F571"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1,983.5</w:t>
            </w:r>
          </w:p>
        </w:tc>
        <w:tc>
          <w:tcPr>
            <w:tcW w:w="851" w:type="dxa"/>
            <w:tcBorders>
              <w:top w:val="nil"/>
              <w:left w:val="single" w:sz="4" w:space="0" w:color="auto"/>
              <w:bottom w:val="single" w:sz="4" w:space="0" w:color="auto"/>
              <w:right w:val="single" w:sz="4" w:space="0" w:color="auto"/>
            </w:tcBorders>
            <w:shd w:val="clear" w:color="auto" w:fill="auto"/>
            <w:vAlign w:val="center"/>
          </w:tcPr>
          <w:p w14:paraId="44E2ED55"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1,710.5</w:t>
            </w:r>
          </w:p>
        </w:tc>
        <w:tc>
          <w:tcPr>
            <w:tcW w:w="850" w:type="dxa"/>
            <w:tcBorders>
              <w:top w:val="nil"/>
              <w:left w:val="nil"/>
              <w:bottom w:val="single" w:sz="4" w:space="0" w:color="auto"/>
              <w:right w:val="single" w:sz="4" w:space="0" w:color="auto"/>
            </w:tcBorders>
            <w:shd w:val="clear" w:color="auto" w:fill="auto"/>
            <w:vAlign w:val="center"/>
          </w:tcPr>
          <w:p w14:paraId="50B7A454"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16%</w:t>
            </w:r>
          </w:p>
        </w:tc>
        <w:tc>
          <w:tcPr>
            <w:tcW w:w="851" w:type="dxa"/>
            <w:tcBorders>
              <w:top w:val="nil"/>
              <w:left w:val="nil"/>
              <w:bottom w:val="single" w:sz="4" w:space="0" w:color="auto"/>
              <w:right w:val="single" w:sz="4" w:space="0" w:color="auto"/>
            </w:tcBorders>
            <w:shd w:val="clear" w:color="auto" w:fill="auto"/>
            <w:vAlign w:val="center"/>
          </w:tcPr>
          <w:p w14:paraId="30280B2D"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r w:rsidRPr="00702A32">
              <w:rPr>
                <w:rFonts w:asciiTheme="minorHAnsi" w:hAnsiTheme="minorHAnsi" w:cstheme="minorHAnsi"/>
                <w:color w:val="000000"/>
                <w:sz w:val="14"/>
                <w:szCs w:val="14"/>
              </w:rPr>
              <w:t>15%</w:t>
            </w:r>
          </w:p>
        </w:tc>
      </w:tr>
      <w:tr w:rsidR="00CC7D36" w:rsidRPr="00CA4A72" w14:paraId="36C6CB80" w14:textId="77777777" w:rsidTr="00CC7D36">
        <w:trPr>
          <w:trHeight w:val="227"/>
        </w:trPr>
        <w:tc>
          <w:tcPr>
            <w:tcW w:w="1980" w:type="dxa"/>
            <w:tcBorders>
              <w:top w:val="nil"/>
              <w:left w:val="single" w:sz="4" w:space="0" w:color="auto"/>
              <w:bottom w:val="single" w:sz="4" w:space="0" w:color="auto"/>
              <w:right w:val="single" w:sz="4" w:space="0" w:color="auto"/>
            </w:tcBorders>
            <w:vAlign w:val="center"/>
          </w:tcPr>
          <w:p w14:paraId="6A63CB5F" w14:textId="77777777" w:rsidR="00CC7D36" w:rsidRPr="00CA4A72" w:rsidRDefault="00CC7D36" w:rsidP="00CC7D36">
            <w:pPr>
              <w:spacing w:line="276" w:lineRule="auto"/>
              <w:rPr>
                <w:rFonts w:asciiTheme="minorHAnsi" w:hAnsiTheme="minorHAnsi" w:cstheme="minorHAnsi"/>
                <w:sz w:val="14"/>
                <w:szCs w:val="14"/>
              </w:rPr>
            </w:pPr>
            <w:r w:rsidRPr="00CA4A72">
              <w:rPr>
                <w:rFonts w:asciiTheme="minorHAnsi" w:hAnsiTheme="minorHAnsi" w:cstheme="minorHAnsi"/>
                <w:sz w:val="14"/>
                <w:szCs w:val="14"/>
              </w:rPr>
              <w:t>Services Revenue</w:t>
            </w:r>
          </w:p>
        </w:tc>
        <w:tc>
          <w:tcPr>
            <w:tcW w:w="283" w:type="dxa"/>
            <w:noWrap/>
            <w:vAlign w:val="bottom"/>
          </w:tcPr>
          <w:p w14:paraId="117DEBD5" w14:textId="77777777" w:rsidR="00CC7D36" w:rsidRPr="00CA4A72" w:rsidRDefault="00CC7D36" w:rsidP="00CC7D36">
            <w:pPr>
              <w:spacing w:line="276" w:lineRule="auto"/>
              <w:ind w:firstLineChars="100" w:firstLine="140"/>
              <w:rPr>
                <w:rFonts w:asciiTheme="minorHAnsi" w:eastAsia="Times New Roman" w:hAnsiTheme="minorHAnsi" w:cstheme="minorHAnsi"/>
                <w:sz w:val="14"/>
                <w:szCs w:val="14"/>
                <w:lang w:eastAsia="en-GB"/>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6CD0892"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230.4</w:t>
            </w:r>
          </w:p>
        </w:tc>
        <w:tc>
          <w:tcPr>
            <w:tcW w:w="850" w:type="dxa"/>
            <w:tcBorders>
              <w:top w:val="nil"/>
              <w:left w:val="single" w:sz="4" w:space="0" w:color="auto"/>
              <w:bottom w:val="single" w:sz="4" w:space="0" w:color="auto"/>
              <w:right w:val="single" w:sz="4" w:space="0" w:color="auto"/>
            </w:tcBorders>
            <w:shd w:val="clear" w:color="auto" w:fill="auto"/>
            <w:vAlign w:val="center"/>
          </w:tcPr>
          <w:p w14:paraId="22CE99BD"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217.6</w:t>
            </w:r>
          </w:p>
        </w:tc>
        <w:tc>
          <w:tcPr>
            <w:tcW w:w="851" w:type="dxa"/>
            <w:tcBorders>
              <w:top w:val="nil"/>
              <w:left w:val="nil"/>
              <w:bottom w:val="single" w:sz="4" w:space="0" w:color="auto"/>
              <w:right w:val="single" w:sz="4" w:space="0" w:color="auto"/>
            </w:tcBorders>
            <w:shd w:val="clear" w:color="auto" w:fill="auto"/>
            <w:vAlign w:val="center"/>
          </w:tcPr>
          <w:p w14:paraId="6AECB330"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6%</w:t>
            </w:r>
          </w:p>
        </w:tc>
        <w:tc>
          <w:tcPr>
            <w:tcW w:w="850" w:type="dxa"/>
            <w:tcBorders>
              <w:top w:val="nil"/>
              <w:left w:val="nil"/>
              <w:bottom w:val="single" w:sz="4" w:space="0" w:color="auto"/>
              <w:right w:val="single" w:sz="4" w:space="0" w:color="auto"/>
            </w:tcBorders>
            <w:shd w:val="clear" w:color="auto" w:fill="auto"/>
            <w:vAlign w:val="center"/>
          </w:tcPr>
          <w:p w14:paraId="15A315E0"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r w:rsidRPr="00702A32">
              <w:rPr>
                <w:rFonts w:asciiTheme="minorHAnsi" w:hAnsiTheme="minorHAnsi" w:cstheme="minorHAnsi"/>
                <w:color w:val="000000"/>
                <w:sz w:val="14"/>
                <w:szCs w:val="14"/>
              </w:rPr>
              <w:t>5%</w:t>
            </w:r>
          </w:p>
        </w:tc>
        <w:tc>
          <w:tcPr>
            <w:tcW w:w="284" w:type="dxa"/>
            <w:noWrap/>
            <w:vAlign w:val="center"/>
          </w:tcPr>
          <w:p w14:paraId="2C8AF955"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6A8C0C3D"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231.5</w:t>
            </w:r>
          </w:p>
        </w:tc>
        <w:tc>
          <w:tcPr>
            <w:tcW w:w="851" w:type="dxa"/>
            <w:tcBorders>
              <w:top w:val="nil"/>
              <w:left w:val="single" w:sz="4" w:space="0" w:color="auto"/>
              <w:bottom w:val="single" w:sz="4" w:space="0" w:color="auto"/>
              <w:right w:val="single" w:sz="4" w:space="0" w:color="auto"/>
            </w:tcBorders>
            <w:shd w:val="clear" w:color="auto" w:fill="auto"/>
            <w:vAlign w:val="center"/>
          </w:tcPr>
          <w:p w14:paraId="19BE829D"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218.9</w:t>
            </w:r>
          </w:p>
        </w:tc>
        <w:tc>
          <w:tcPr>
            <w:tcW w:w="850" w:type="dxa"/>
            <w:tcBorders>
              <w:top w:val="nil"/>
              <w:left w:val="nil"/>
              <w:bottom w:val="single" w:sz="4" w:space="0" w:color="auto"/>
              <w:right w:val="single" w:sz="4" w:space="0" w:color="auto"/>
            </w:tcBorders>
            <w:shd w:val="clear" w:color="auto" w:fill="auto"/>
            <w:vAlign w:val="center"/>
          </w:tcPr>
          <w:p w14:paraId="3CA57D94"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6%</w:t>
            </w:r>
          </w:p>
        </w:tc>
        <w:tc>
          <w:tcPr>
            <w:tcW w:w="851" w:type="dxa"/>
            <w:tcBorders>
              <w:top w:val="nil"/>
              <w:left w:val="nil"/>
              <w:bottom w:val="single" w:sz="4" w:space="0" w:color="auto"/>
              <w:right w:val="single" w:sz="4" w:space="0" w:color="auto"/>
            </w:tcBorders>
            <w:shd w:val="clear" w:color="auto" w:fill="auto"/>
            <w:vAlign w:val="center"/>
          </w:tcPr>
          <w:p w14:paraId="33CF679D"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r w:rsidRPr="00702A32">
              <w:rPr>
                <w:rFonts w:asciiTheme="minorHAnsi" w:hAnsiTheme="minorHAnsi" w:cstheme="minorHAnsi"/>
                <w:color w:val="000000"/>
                <w:sz w:val="14"/>
                <w:szCs w:val="14"/>
              </w:rPr>
              <w:t>5%</w:t>
            </w:r>
          </w:p>
        </w:tc>
      </w:tr>
      <w:tr w:rsidR="00CC7D36" w:rsidRPr="00CA4A72" w14:paraId="4C9C5C0D" w14:textId="77777777" w:rsidTr="00CC7D36">
        <w:trPr>
          <w:trHeight w:val="227"/>
        </w:trPr>
        <w:tc>
          <w:tcPr>
            <w:tcW w:w="1980" w:type="dxa"/>
            <w:tcBorders>
              <w:top w:val="nil"/>
              <w:left w:val="single" w:sz="4" w:space="0" w:color="auto"/>
              <w:bottom w:val="single" w:sz="4" w:space="0" w:color="auto"/>
              <w:right w:val="single" w:sz="4" w:space="0" w:color="auto"/>
            </w:tcBorders>
            <w:vAlign w:val="center"/>
            <w:hideMark/>
          </w:tcPr>
          <w:p w14:paraId="0379C2B3" w14:textId="77777777" w:rsidR="00CC7D36" w:rsidRPr="00CA4A72" w:rsidRDefault="00CC7D36" w:rsidP="00CC7D36">
            <w:pPr>
              <w:spacing w:line="276" w:lineRule="auto"/>
              <w:rPr>
                <w:rFonts w:asciiTheme="minorHAnsi" w:eastAsia="Times New Roman" w:hAnsiTheme="minorHAnsi" w:cstheme="minorHAnsi"/>
                <w:sz w:val="14"/>
                <w:szCs w:val="14"/>
                <w:lang w:eastAsia="en-GB"/>
              </w:rPr>
            </w:pPr>
            <w:r w:rsidRPr="00CA4A72">
              <w:rPr>
                <w:rFonts w:asciiTheme="minorHAnsi" w:hAnsiTheme="minorHAnsi" w:cstheme="minorHAnsi"/>
                <w:sz w:val="14"/>
                <w:szCs w:val="14"/>
              </w:rPr>
              <w:t>Operating Margin</w:t>
            </w:r>
          </w:p>
        </w:tc>
        <w:tc>
          <w:tcPr>
            <w:tcW w:w="283" w:type="dxa"/>
            <w:noWrap/>
            <w:vAlign w:val="bottom"/>
          </w:tcPr>
          <w:p w14:paraId="712EEE4B" w14:textId="77777777" w:rsidR="00CC7D36" w:rsidRPr="00CA4A72" w:rsidRDefault="00CC7D36" w:rsidP="00CC7D36">
            <w:pPr>
              <w:spacing w:line="276" w:lineRule="auto"/>
              <w:ind w:firstLineChars="100" w:firstLine="140"/>
              <w:rPr>
                <w:rFonts w:asciiTheme="minorHAnsi" w:eastAsia="Times New Roman" w:hAnsiTheme="minorHAnsi" w:cstheme="minorHAnsi"/>
                <w:sz w:val="14"/>
                <w:szCs w:val="14"/>
                <w:lang w:eastAsia="en-GB"/>
              </w:rPr>
            </w:pPr>
          </w:p>
        </w:tc>
        <w:tc>
          <w:tcPr>
            <w:tcW w:w="851" w:type="dxa"/>
            <w:tcBorders>
              <w:top w:val="nil"/>
              <w:left w:val="single" w:sz="4" w:space="0" w:color="auto"/>
              <w:bottom w:val="single" w:sz="4" w:space="0" w:color="auto"/>
              <w:right w:val="single" w:sz="4" w:space="0" w:color="auto"/>
            </w:tcBorders>
            <w:shd w:val="clear" w:color="000000" w:fill="FFFFFF"/>
            <w:vAlign w:val="center"/>
          </w:tcPr>
          <w:p w14:paraId="3078A5F6"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11.9%</w:t>
            </w:r>
          </w:p>
        </w:tc>
        <w:tc>
          <w:tcPr>
            <w:tcW w:w="850" w:type="dxa"/>
            <w:tcBorders>
              <w:top w:val="nil"/>
              <w:left w:val="single" w:sz="4" w:space="0" w:color="auto"/>
              <w:bottom w:val="single" w:sz="4" w:space="0" w:color="auto"/>
              <w:right w:val="single" w:sz="4" w:space="0" w:color="auto"/>
            </w:tcBorders>
            <w:shd w:val="clear" w:color="auto" w:fill="auto"/>
            <w:vAlign w:val="center"/>
          </w:tcPr>
          <w:p w14:paraId="1F83ABCE"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20.7%</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1962C4B9"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(8.8)pts</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7D219A3C" w14:textId="77777777" w:rsidR="00CC7D36" w:rsidRPr="00702A32" w:rsidRDefault="00CC7D36" w:rsidP="00CC7D36">
            <w:pPr>
              <w:spacing w:line="276" w:lineRule="auto"/>
              <w:jc w:val="center"/>
              <w:rPr>
                <w:rFonts w:asciiTheme="minorHAnsi" w:eastAsia="Times New Roman" w:hAnsiTheme="minorHAnsi" w:cstheme="minorHAnsi"/>
                <w:b/>
                <w:bCs/>
                <w:color w:val="005386"/>
                <w:sz w:val="14"/>
                <w:szCs w:val="14"/>
                <w:lang w:eastAsia="en-GB"/>
              </w:rPr>
            </w:pPr>
          </w:p>
        </w:tc>
        <w:tc>
          <w:tcPr>
            <w:tcW w:w="284" w:type="dxa"/>
            <w:noWrap/>
            <w:vAlign w:val="center"/>
          </w:tcPr>
          <w:p w14:paraId="0D26F65F" w14:textId="77777777" w:rsidR="00CC7D36" w:rsidRPr="00702A32" w:rsidRDefault="00CC7D36" w:rsidP="00CC7D36">
            <w:pPr>
              <w:spacing w:line="276" w:lineRule="auto"/>
              <w:jc w:val="center"/>
              <w:rPr>
                <w:rFonts w:asciiTheme="minorHAnsi" w:eastAsia="Times New Roman" w:hAnsiTheme="minorHAnsi" w:cstheme="minorHAnsi"/>
                <w:b/>
                <w:bCs/>
                <w:color w:val="005386"/>
                <w:sz w:val="14"/>
                <w:szCs w:val="14"/>
                <w:lang w:eastAsia="en-GB"/>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2AC656AE"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28.0%</w:t>
            </w:r>
          </w:p>
        </w:tc>
        <w:tc>
          <w:tcPr>
            <w:tcW w:w="851" w:type="dxa"/>
            <w:tcBorders>
              <w:top w:val="nil"/>
              <w:left w:val="single" w:sz="4" w:space="0" w:color="auto"/>
              <w:bottom w:val="single" w:sz="4" w:space="0" w:color="auto"/>
              <w:right w:val="single" w:sz="4" w:space="0" w:color="auto"/>
            </w:tcBorders>
            <w:shd w:val="clear" w:color="auto" w:fill="auto"/>
            <w:vAlign w:val="center"/>
          </w:tcPr>
          <w:p w14:paraId="15F82595"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31.8%</w:t>
            </w:r>
          </w:p>
        </w:tc>
        <w:tc>
          <w:tcPr>
            <w:tcW w:w="850" w:type="dxa"/>
            <w:tcBorders>
              <w:top w:val="nil"/>
              <w:left w:val="nil"/>
              <w:bottom w:val="single" w:sz="4" w:space="0" w:color="auto"/>
              <w:right w:val="single" w:sz="4" w:space="0" w:color="auto"/>
            </w:tcBorders>
            <w:shd w:val="clear" w:color="000000" w:fill="FFFFFF"/>
            <w:vAlign w:val="center"/>
          </w:tcPr>
          <w:p w14:paraId="6BC68CD5"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(3.7)pts</w:t>
            </w:r>
          </w:p>
        </w:tc>
        <w:tc>
          <w:tcPr>
            <w:tcW w:w="851" w:type="dxa"/>
            <w:tcBorders>
              <w:top w:val="nil"/>
              <w:left w:val="nil"/>
              <w:bottom w:val="single" w:sz="4" w:space="0" w:color="auto"/>
              <w:right w:val="single" w:sz="4" w:space="0" w:color="auto"/>
            </w:tcBorders>
            <w:shd w:val="clear" w:color="auto" w:fill="auto"/>
            <w:vAlign w:val="center"/>
          </w:tcPr>
          <w:p w14:paraId="3B15C110"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p>
        </w:tc>
      </w:tr>
      <w:tr w:rsidR="00CC7D36" w:rsidRPr="00CA4A72" w14:paraId="2A8D21AC" w14:textId="77777777" w:rsidTr="00CC7D36">
        <w:trPr>
          <w:trHeight w:val="227"/>
        </w:trPr>
        <w:tc>
          <w:tcPr>
            <w:tcW w:w="1980" w:type="dxa"/>
            <w:tcBorders>
              <w:top w:val="nil"/>
              <w:left w:val="single" w:sz="4" w:space="0" w:color="auto"/>
              <w:bottom w:val="single" w:sz="4" w:space="0" w:color="auto"/>
              <w:right w:val="single" w:sz="4" w:space="0" w:color="auto"/>
            </w:tcBorders>
            <w:vAlign w:val="center"/>
            <w:hideMark/>
          </w:tcPr>
          <w:p w14:paraId="25844560" w14:textId="77777777" w:rsidR="00CC7D36" w:rsidRPr="00CA4A72" w:rsidRDefault="00CC7D36" w:rsidP="00CC7D36">
            <w:pPr>
              <w:spacing w:line="276" w:lineRule="auto"/>
              <w:rPr>
                <w:rFonts w:asciiTheme="minorHAnsi" w:eastAsia="Times New Roman" w:hAnsiTheme="minorHAnsi" w:cstheme="minorHAnsi"/>
                <w:sz w:val="14"/>
                <w:szCs w:val="14"/>
                <w:lang w:eastAsia="en-GB"/>
              </w:rPr>
            </w:pPr>
            <w:r w:rsidRPr="00CA4A72">
              <w:rPr>
                <w:rFonts w:asciiTheme="minorHAnsi" w:hAnsiTheme="minorHAnsi" w:cstheme="minorHAnsi"/>
                <w:sz w:val="14"/>
                <w:szCs w:val="14"/>
              </w:rPr>
              <w:t>EPS</w:t>
            </w:r>
          </w:p>
        </w:tc>
        <w:tc>
          <w:tcPr>
            <w:tcW w:w="283" w:type="dxa"/>
            <w:noWrap/>
            <w:vAlign w:val="bottom"/>
          </w:tcPr>
          <w:p w14:paraId="5E6647DE" w14:textId="77777777" w:rsidR="00CC7D36" w:rsidRPr="00CA4A72" w:rsidRDefault="00CC7D36" w:rsidP="00CC7D36">
            <w:pPr>
              <w:spacing w:line="276" w:lineRule="auto"/>
              <w:ind w:firstLineChars="100" w:firstLine="140"/>
              <w:rPr>
                <w:rFonts w:asciiTheme="minorHAnsi" w:eastAsia="Times New Roman" w:hAnsiTheme="minorHAnsi" w:cstheme="minorHAnsi"/>
                <w:sz w:val="14"/>
                <w:szCs w:val="14"/>
                <w:lang w:eastAsia="en-GB"/>
              </w:rPr>
            </w:pPr>
          </w:p>
        </w:tc>
        <w:tc>
          <w:tcPr>
            <w:tcW w:w="851" w:type="dxa"/>
            <w:tcBorders>
              <w:top w:val="nil"/>
              <w:left w:val="single" w:sz="4" w:space="0" w:color="auto"/>
              <w:bottom w:val="single" w:sz="4" w:space="0" w:color="auto"/>
              <w:right w:val="single" w:sz="4" w:space="0" w:color="auto"/>
            </w:tcBorders>
            <w:shd w:val="clear" w:color="000000" w:fill="FFFFFF"/>
            <w:vAlign w:val="center"/>
          </w:tcPr>
          <w:p w14:paraId="14E0013E"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0.74</w:t>
            </w:r>
          </w:p>
        </w:tc>
        <w:tc>
          <w:tcPr>
            <w:tcW w:w="850" w:type="dxa"/>
            <w:tcBorders>
              <w:top w:val="nil"/>
              <w:left w:val="single" w:sz="4" w:space="0" w:color="auto"/>
              <w:bottom w:val="single" w:sz="4" w:space="0" w:color="auto"/>
              <w:right w:val="single" w:sz="4" w:space="0" w:color="auto"/>
            </w:tcBorders>
            <w:shd w:val="clear" w:color="auto" w:fill="auto"/>
            <w:vAlign w:val="center"/>
          </w:tcPr>
          <w:p w14:paraId="709C6915"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1.13</w:t>
            </w:r>
          </w:p>
        </w:tc>
        <w:tc>
          <w:tcPr>
            <w:tcW w:w="851" w:type="dxa"/>
            <w:tcBorders>
              <w:top w:val="nil"/>
              <w:left w:val="nil"/>
              <w:bottom w:val="single" w:sz="4" w:space="0" w:color="auto"/>
              <w:right w:val="single" w:sz="4" w:space="0" w:color="auto"/>
            </w:tcBorders>
            <w:shd w:val="clear" w:color="auto" w:fill="auto"/>
            <w:vAlign w:val="center"/>
          </w:tcPr>
          <w:p w14:paraId="3B78485C"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(34)%</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107CC379"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p>
        </w:tc>
        <w:tc>
          <w:tcPr>
            <w:tcW w:w="284" w:type="dxa"/>
            <w:noWrap/>
            <w:vAlign w:val="center"/>
          </w:tcPr>
          <w:p w14:paraId="1D63A877"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134296DA"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1.76</w:t>
            </w:r>
          </w:p>
        </w:tc>
        <w:tc>
          <w:tcPr>
            <w:tcW w:w="851" w:type="dxa"/>
            <w:tcBorders>
              <w:top w:val="nil"/>
              <w:left w:val="single" w:sz="4" w:space="0" w:color="auto"/>
              <w:bottom w:val="single" w:sz="4" w:space="0" w:color="auto"/>
              <w:right w:val="single" w:sz="4" w:space="0" w:color="auto"/>
            </w:tcBorders>
            <w:shd w:val="clear" w:color="auto" w:fill="auto"/>
            <w:vAlign w:val="center"/>
          </w:tcPr>
          <w:p w14:paraId="7CA1F6D1"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1.69</w:t>
            </w:r>
          </w:p>
        </w:tc>
        <w:tc>
          <w:tcPr>
            <w:tcW w:w="850" w:type="dxa"/>
            <w:tcBorders>
              <w:top w:val="nil"/>
              <w:left w:val="nil"/>
              <w:bottom w:val="single" w:sz="4" w:space="0" w:color="auto"/>
              <w:right w:val="single" w:sz="4" w:space="0" w:color="auto"/>
            </w:tcBorders>
            <w:shd w:val="clear" w:color="auto" w:fill="auto"/>
            <w:vAlign w:val="center"/>
          </w:tcPr>
          <w:p w14:paraId="6C86B705"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4%</w:t>
            </w:r>
          </w:p>
        </w:tc>
        <w:tc>
          <w:tcPr>
            <w:tcW w:w="851" w:type="dxa"/>
            <w:tcBorders>
              <w:top w:val="nil"/>
              <w:left w:val="nil"/>
              <w:bottom w:val="single" w:sz="4" w:space="0" w:color="auto"/>
              <w:right w:val="single" w:sz="4" w:space="0" w:color="auto"/>
            </w:tcBorders>
            <w:shd w:val="clear" w:color="auto" w:fill="auto"/>
            <w:vAlign w:val="center"/>
          </w:tcPr>
          <w:p w14:paraId="072827D7" w14:textId="77777777" w:rsidR="00CC7D36" w:rsidRPr="004255A5" w:rsidRDefault="00CC7D36" w:rsidP="00CC7D36">
            <w:pPr>
              <w:spacing w:line="276" w:lineRule="auto"/>
              <w:jc w:val="center"/>
              <w:rPr>
                <w:rFonts w:asciiTheme="minorHAnsi" w:eastAsia="Times New Roman" w:hAnsiTheme="minorHAnsi" w:cstheme="minorHAnsi"/>
                <w:sz w:val="14"/>
                <w:szCs w:val="14"/>
                <w:lang w:eastAsia="en-GB"/>
              </w:rPr>
            </w:pPr>
            <w:r w:rsidRPr="004255A5">
              <w:rPr>
                <w:rFonts w:asciiTheme="minorHAnsi" w:hAnsiTheme="minorHAnsi" w:cstheme="minorHAnsi"/>
                <w:color w:val="000000"/>
                <w:sz w:val="14"/>
                <w:szCs w:val="14"/>
              </w:rPr>
              <w:t>2%</w:t>
            </w:r>
          </w:p>
        </w:tc>
      </w:tr>
    </w:tbl>
    <w:p w14:paraId="64296F1C" w14:textId="035190AA" w:rsidR="00F244C4" w:rsidRDefault="00F244C4" w:rsidP="00F244C4">
      <w:pPr>
        <w:tabs>
          <w:tab w:val="left" w:pos="-720"/>
        </w:tabs>
        <w:suppressAutoHyphens/>
        <w:spacing w:after="240"/>
        <w:jc w:val="both"/>
        <w:rPr>
          <w:rFonts w:asciiTheme="minorHAnsi" w:hAnsiTheme="minorHAnsi" w:cstheme="minorHAnsi"/>
          <w:sz w:val="24"/>
        </w:rPr>
      </w:pPr>
    </w:p>
    <w:tbl>
      <w:tblPr>
        <w:tblW w:w="9351" w:type="dxa"/>
        <w:tblLayout w:type="fixed"/>
        <w:tblLook w:val="04A0" w:firstRow="1" w:lastRow="0" w:firstColumn="1" w:lastColumn="0" w:noHBand="0" w:noVBand="1"/>
      </w:tblPr>
      <w:tblGrid>
        <w:gridCol w:w="1980"/>
        <w:gridCol w:w="283"/>
        <w:gridCol w:w="851"/>
        <w:gridCol w:w="850"/>
        <w:gridCol w:w="851"/>
        <w:gridCol w:w="850"/>
        <w:gridCol w:w="284"/>
        <w:gridCol w:w="850"/>
        <w:gridCol w:w="851"/>
        <w:gridCol w:w="850"/>
        <w:gridCol w:w="851"/>
      </w:tblGrid>
      <w:tr w:rsidR="00CC7D36" w:rsidRPr="00CA4A72" w14:paraId="252EF1EC" w14:textId="77777777" w:rsidTr="00CC7D36">
        <w:trPr>
          <w:trHeight w:val="255"/>
        </w:trPr>
        <w:tc>
          <w:tcPr>
            <w:tcW w:w="1980" w:type="dxa"/>
            <w:vMerge w:val="restart"/>
            <w:tcBorders>
              <w:top w:val="single" w:sz="4" w:space="0" w:color="auto"/>
              <w:left w:val="single" w:sz="4" w:space="0" w:color="auto"/>
              <w:bottom w:val="single" w:sz="4" w:space="0" w:color="000000"/>
              <w:right w:val="single" w:sz="4" w:space="0" w:color="auto"/>
            </w:tcBorders>
            <w:vAlign w:val="center"/>
            <w:hideMark/>
          </w:tcPr>
          <w:p w14:paraId="24E6D47B" w14:textId="77777777" w:rsidR="00CC7D36" w:rsidRPr="00CA4A72" w:rsidRDefault="00CC7D36" w:rsidP="00CC7D36">
            <w:pPr>
              <w:spacing w:line="276" w:lineRule="auto"/>
              <w:jc w:val="center"/>
              <w:rPr>
                <w:rFonts w:asciiTheme="minorHAnsi" w:eastAsia="Times New Roman" w:hAnsiTheme="minorHAnsi" w:cstheme="minorHAnsi"/>
                <w:sz w:val="14"/>
                <w:szCs w:val="14"/>
                <w:lang w:eastAsia="en-GB"/>
              </w:rPr>
            </w:pPr>
            <w:r w:rsidRPr="00CA4A72">
              <w:rPr>
                <w:rFonts w:asciiTheme="minorHAnsi" w:hAnsiTheme="minorHAnsi" w:cstheme="minorHAnsi"/>
                <w:color w:val="000000"/>
                <w:sz w:val="14"/>
                <w:szCs w:val="14"/>
              </w:rPr>
              <w:t>Total Software Revenue in millions of Euros, except percentages</w:t>
            </w:r>
          </w:p>
        </w:tc>
        <w:tc>
          <w:tcPr>
            <w:tcW w:w="283" w:type="dxa"/>
            <w:noWrap/>
            <w:vAlign w:val="bottom"/>
          </w:tcPr>
          <w:p w14:paraId="467235BF" w14:textId="77777777" w:rsidR="00CC7D36" w:rsidRPr="00CA4A72" w:rsidRDefault="00CC7D36" w:rsidP="00CC7D36">
            <w:pPr>
              <w:spacing w:line="276" w:lineRule="auto"/>
              <w:jc w:val="center"/>
              <w:rPr>
                <w:rFonts w:asciiTheme="minorHAnsi" w:eastAsia="Times New Roman" w:hAnsiTheme="minorHAnsi" w:cstheme="minorHAnsi"/>
                <w:sz w:val="14"/>
                <w:szCs w:val="14"/>
                <w:lang w:eastAsia="en-GB"/>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684A9AB"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eastAsia="Times New Roman" w:hAnsiTheme="minorHAnsi" w:cstheme="minorHAnsi"/>
                <w:b/>
                <w:bCs/>
                <w:sz w:val="14"/>
                <w:szCs w:val="14"/>
                <w:lang w:eastAsia="en-GB"/>
              </w:rPr>
              <w:t xml:space="preserve">IFRS </w:t>
            </w:r>
          </w:p>
        </w:tc>
        <w:tc>
          <w:tcPr>
            <w:tcW w:w="284" w:type="dxa"/>
            <w:noWrap/>
            <w:vAlign w:val="bottom"/>
          </w:tcPr>
          <w:p w14:paraId="4A6DD153"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2042C93"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eastAsia="Times New Roman" w:hAnsiTheme="minorHAnsi" w:cstheme="minorHAnsi"/>
                <w:b/>
                <w:bCs/>
                <w:sz w:val="14"/>
                <w:szCs w:val="14"/>
                <w:lang w:eastAsia="en-GB"/>
              </w:rPr>
              <w:t>Non-IFRS</w:t>
            </w:r>
          </w:p>
        </w:tc>
      </w:tr>
      <w:tr w:rsidR="00CC7D36" w:rsidRPr="00CA4A72" w14:paraId="51EB40E8" w14:textId="77777777" w:rsidTr="00CC7D36">
        <w:trPr>
          <w:trHeight w:val="420"/>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1503C194" w14:textId="77777777" w:rsidR="00CC7D36" w:rsidRPr="00CA4A72" w:rsidRDefault="00CC7D36" w:rsidP="00CC7D36">
            <w:pPr>
              <w:spacing w:line="276" w:lineRule="auto"/>
              <w:rPr>
                <w:rFonts w:asciiTheme="minorHAnsi" w:eastAsia="Times New Roman" w:hAnsiTheme="minorHAnsi" w:cstheme="minorHAnsi"/>
                <w:sz w:val="14"/>
                <w:szCs w:val="14"/>
                <w:lang w:eastAsia="en-GB"/>
              </w:rPr>
            </w:pPr>
          </w:p>
        </w:tc>
        <w:tc>
          <w:tcPr>
            <w:tcW w:w="283" w:type="dxa"/>
            <w:noWrap/>
            <w:vAlign w:val="bottom"/>
          </w:tcPr>
          <w:p w14:paraId="4C26123F"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6DFAA"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hAnsiTheme="minorHAnsi" w:cstheme="minorHAnsi"/>
                <w:b/>
                <w:bCs/>
                <w:sz w:val="14"/>
                <w:szCs w:val="14"/>
              </w:rPr>
              <w:t>YTD 2020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0F625D"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hAnsiTheme="minorHAnsi" w:cstheme="minorHAnsi"/>
                <w:b/>
                <w:bCs/>
                <w:sz w:val="14"/>
                <w:szCs w:val="16"/>
              </w:rPr>
              <w:t>YTD 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73D48F3"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hAnsiTheme="minorHAnsi" w:cstheme="minorHAnsi"/>
                <w:b/>
                <w:bCs/>
                <w:sz w:val="14"/>
                <w:szCs w:val="14"/>
              </w:rPr>
              <w:t>Change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52470D6"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Pr>
                <w:rFonts w:asciiTheme="minorHAnsi" w:hAnsiTheme="minorHAnsi" w:cstheme="minorHAnsi"/>
                <w:b/>
                <w:bCs/>
                <w:sz w:val="14"/>
                <w:szCs w:val="14"/>
              </w:rPr>
              <w:t xml:space="preserve">Change in </w:t>
            </w:r>
            <w:r w:rsidRPr="00F940FF">
              <w:rPr>
                <w:rFonts w:asciiTheme="minorHAnsi" w:hAnsiTheme="minorHAnsi" w:cstheme="minorHAnsi"/>
                <w:b/>
                <w:bCs/>
                <w:sz w:val="14"/>
                <w:szCs w:val="14"/>
              </w:rPr>
              <w:t>constant currencies</w:t>
            </w:r>
          </w:p>
        </w:tc>
        <w:tc>
          <w:tcPr>
            <w:tcW w:w="284" w:type="dxa"/>
            <w:noWrap/>
            <w:vAlign w:val="bottom"/>
          </w:tcPr>
          <w:p w14:paraId="5209A46C"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5A58A"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hAnsiTheme="minorHAnsi" w:cstheme="minorHAnsi"/>
                <w:b/>
                <w:bCs/>
                <w:sz w:val="14"/>
                <w:szCs w:val="14"/>
              </w:rPr>
              <w:t>YTD 2020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28DC84F6"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hAnsiTheme="minorHAnsi" w:cstheme="minorHAnsi"/>
                <w:b/>
                <w:bCs/>
                <w:sz w:val="14"/>
                <w:szCs w:val="16"/>
              </w:rPr>
              <w:t>YTD 2019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EE5A570"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sidRPr="00CA4A72">
              <w:rPr>
                <w:rFonts w:asciiTheme="minorHAnsi" w:hAnsiTheme="minorHAnsi" w:cstheme="minorHAnsi"/>
                <w:b/>
                <w:bCs/>
                <w:sz w:val="14"/>
                <w:szCs w:val="14"/>
              </w:rPr>
              <w:t>Change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B088BE2" w14:textId="77777777" w:rsidR="00CC7D36" w:rsidRPr="00CA4A72" w:rsidRDefault="00CC7D36" w:rsidP="00CC7D36">
            <w:pPr>
              <w:spacing w:line="276" w:lineRule="auto"/>
              <w:jc w:val="center"/>
              <w:rPr>
                <w:rFonts w:asciiTheme="minorHAnsi" w:eastAsia="Times New Roman" w:hAnsiTheme="minorHAnsi" w:cstheme="minorHAnsi"/>
                <w:b/>
                <w:bCs/>
                <w:sz w:val="14"/>
                <w:szCs w:val="14"/>
                <w:lang w:eastAsia="en-GB"/>
              </w:rPr>
            </w:pPr>
            <w:r>
              <w:rPr>
                <w:rFonts w:asciiTheme="minorHAnsi" w:hAnsiTheme="minorHAnsi" w:cstheme="minorHAnsi"/>
                <w:b/>
                <w:bCs/>
                <w:sz w:val="14"/>
                <w:szCs w:val="14"/>
              </w:rPr>
              <w:t xml:space="preserve">Change in </w:t>
            </w:r>
            <w:r w:rsidRPr="00F940FF">
              <w:rPr>
                <w:rFonts w:asciiTheme="minorHAnsi" w:hAnsiTheme="minorHAnsi" w:cstheme="minorHAnsi"/>
                <w:b/>
                <w:bCs/>
                <w:sz w:val="14"/>
                <w:szCs w:val="14"/>
              </w:rPr>
              <w:t>constant currencies</w:t>
            </w:r>
          </w:p>
        </w:tc>
      </w:tr>
      <w:tr w:rsidR="00CC7D36" w:rsidRPr="00CA4A72" w14:paraId="26E06606" w14:textId="77777777" w:rsidTr="00CC7D36">
        <w:trPr>
          <w:trHeight w:val="227"/>
        </w:trPr>
        <w:tc>
          <w:tcPr>
            <w:tcW w:w="1980" w:type="dxa"/>
            <w:tcBorders>
              <w:top w:val="single" w:sz="4" w:space="0" w:color="auto"/>
              <w:left w:val="single" w:sz="4" w:space="0" w:color="auto"/>
              <w:bottom w:val="single" w:sz="4" w:space="0" w:color="auto"/>
              <w:right w:val="single" w:sz="4" w:space="0" w:color="auto"/>
            </w:tcBorders>
            <w:vAlign w:val="center"/>
            <w:hideMark/>
          </w:tcPr>
          <w:p w14:paraId="4925DC06" w14:textId="77777777" w:rsidR="00CC7D36" w:rsidRPr="00CA4A72" w:rsidRDefault="00CC7D36" w:rsidP="00CC7D36">
            <w:pPr>
              <w:spacing w:line="276" w:lineRule="auto"/>
              <w:rPr>
                <w:rFonts w:asciiTheme="minorHAnsi" w:eastAsia="Times New Roman" w:hAnsiTheme="minorHAnsi" w:cstheme="minorHAnsi"/>
                <w:sz w:val="14"/>
                <w:szCs w:val="14"/>
                <w:lang w:eastAsia="en-GB"/>
              </w:rPr>
            </w:pPr>
            <w:r w:rsidRPr="00CA4A72">
              <w:rPr>
                <w:rFonts w:asciiTheme="minorHAnsi" w:hAnsiTheme="minorHAnsi" w:cstheme="minorHAnsi"/>
                <w:color w:val="000000"/>
                <w:sz w:val="14"/>
                <w:szCs w:val="14"/>
              </w:rPr>
              <w:t>Americas</w:t>
            </w:r>
          </w:p>
        </w:tc>
        <w:tc>
          <w:tcPr>
            <w:tcW w:w="283" w:type="dxa"/>
            <w:noWrap/>
            <w:vAlign w:val="bottom"/>
          </w:tcPr>
          <w:p w14:paraId="4C76A08E" w14:textId="77777777" w:rsidR="00CC7D36" w:rsidRPr="00CA4A72" w:rsidRDefault="00CC7D36" w:rsidP="00CC7D36">
            <w:pPr>
              <w:spacing w:line="276" w:lineRule="auto"/>
              <w:ind w:firstLineChars="100" w:firstLine="140"/>
              <w:rPr>
                <w:rFonts w:asciiTheme="minorHAnsi" w:eastAsia="Times New Roman" w:hAnsiTheme="minorHAnsi" w:cstheme="minorHAnsi"/>
                <w:sz w:val="14"/>
                <w:szCs w:val="14"/>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FA4146"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758.2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A70488"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514.3</w:t>
            </w:r>
          </w:p>
        </w:tc>
        <w:tc>
          <w:tcPr>
            <w:tcW w:w="851" w:type="dxa"/>
            <w:tcBorders>
              <w:top w:val="single" w:sz="4" w:space="0" w:color="auto"/>
              <w:left w:val="nil"/>
              <w:bottom w:val="single" w:sz="4" w:space="0" w:color="auto"/>
              <w:right w:val="single" w:sz="4" w:space="0" w:color="auto"/>
            </w:tcBorders>
            <w:shd w:val="clear" w:color="auto" w:fill="auto"/>
            <w:vAlign w:val="center"/>
          </w:tcPr>
          <w:p w14:paraId="166590AD"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47%</w:t>
            </w:r>
          </w:p>
        </w:tc>
        <w:tc>
          <w:tcPr>
            <w:tcW w:w="850" w:type="dxa"/>
            <w:tcBorders>
              <w:top w:val="single" w:sz="4" w:space="0" w:color="auto"/>
              <w:left w:val="nil"/>
              <w:bottom w:val="single" w:sz="4" w:space="0" w:color="auto"/>
              <w:right w:val="single" w:sz="4" w:space="0" w:color="auto"/>
            </w:tcBorders>
            <w:shd w:val="clear" w:color="auto" w:fill="auto"/>
            <w:vAlign w:val="center"/>
          </w:tcPr>
          <w:p w14:paraId="516C0A53"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r w:rsidRPr="00702A32">
              <w:rPr>
                <w:rFonts w:asciiTheme="minorHAnsi" w:hAnsiTheme="minorHAnsi" w:cstheme="minorHAnsi"/>
                <w:color w:val="000000"/>
                <w:sz w:val="14"/>
                <w:szCs w:val="14"/>
              </w:rPr>
              <w:t>44%</w:t>
            </w:r>
          </w:p>
        </w:tc>
        <w:tc>
          <w:tcPr>
            <w:tcW w:w="284" w:type="dxa"/>
            <w:noWrap/>
            <w:vAlign w:val="center"/>
          </w:tcPr>
          <w:p w14:paraId="38D4E4F3"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600D1A"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768.1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E37B95"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520.6</w:t>
            </w:r>
          </w:p>
        </w:tc>
        <w:tc>
          <w:tcPr>
            <w:tcW w:w="850" w:type="dxa"/>
            <w:tcBorders>
              <w:top w:val="single" w:sz="4" w:space="0" w:color="auto"/>
              <w:left w:val="nil"/>
              <w:bottom w:val="single" w:sz="4" w:space="0" w:color="auto"/>
              <w:right w:val="single" w:sz="4" w:space="0" w:color="auto"/>
            </w:tcBorders>
            <w:shd w:val="clear" w:color="auto" w:fill="auto"/>
            <w:vAlign w:val="center"/>
          </w:tcPr>
          <w:p w14:paraId="7F08D47F"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48%</w:t>
            </w:r>
          </w:p>
        </w:tc>
        <w:tc>
          <w:tcPr>
            <w:tcW w:w="851" w:type="dxa"/>
            <w:tcBorders>
              <w:top w:val="single" w:sz="4" w:space="0" w:color="auto"/>
              <w:left w:val="nil"/>
              <w:bottom w:val="single" w:sz="4" w:space="0" w:color="auto"/>
              <w:right w:val="single" w:sz="4" w:space="0" w:color="auto"/>
            </w:tcBorders>
            <w:shd w:val="clear" w:color="auto" w:fill="auto"/>
            <w:vAlign w:val="center"/>
          </w:tcPr>
          <w:p w14:paraId="10CD1662"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r w:rsidRPr="00702A32">
              <w:rPr>
                <w:rFonts w:asciiTheme="minorHAnsi" w:hAnsiTheme="minorHAnsi" w:cstheme="minorHAnsi"/>
                <w:color w:val="000000"/>
                <w:sz w:val="14"/>
                <w:szCs w:val="14"/>
              </w:rPr>
              <w:t>44%</w:t>
            </w:r>
          </w:p>
        </w:tc>
      </w:tr>
      <w:tr w:rsidR="00CC7D36" w:rsidRPr="00CA4A72" w14:paraId="11426197" w14:textId="77777777" w:rsidTr="00CC7D36">
        <w:trPr>
          <w:trHeight w:val="227"/>
        </w:trPr>
        <w:tc>
          <w:tcPr>
            <w:tcW w:w="1980" w:type="dxa"/>
            <w:tcBorders>
              <w:top w:val="nil"/>
              <w:left w:val="single" w:sz="4" w:space="0" w:color="auto"/>
              <w:bottom w:val="single" w:sz="4" w:space="0" w:color="auto"/>
              <w:right w:val="single" w:sz="4" w:space="0" w:color="auto"/>
            </w:tcBorders>
            <w:vAlign w:val="center"/>
            <w:hideMark/>
          </w:tcPr>
          <w:p w14:paraId="09B6C568" w14:textId="77777777" w:rsidR="00CC7D36" w:rsidRPr="00CA4A72" w:rsidRDefault="00CC7D36" w:rsidP="00CC7D36">
            <w:pPr>
              <w:spacing w:line="276" w:lineRule="auto"/>
              <w:rPr>
                <w:rFonts w:asciiTheme="minorHAnsi" w:eastAsia="Times New Roman" w:hAnsiTheme="minorHAnsi" w:cstheme="minorHAnsi"/>
                <w:sz w:val="14"/>
                <w:szCs w:val="14"/>
                <w:lang w:eastAsia="en-GB"/>
              </w:rPr>
            </w:pPr>
            <w:r w:rsidRPr="00CA4A72">
              <w:rPr>
                <w:rFonts w:asciiTheme="minorHAnsi" w:hAnsiTheme="minorHAnsi" w:cstheme="minorHAnsi"/>
                <w:color w:val="000000"/>
                <w:sz w:val="14"/>
                <w:szCs w:val="14"/>
              </w:rPr>
              <w:t>Europe</w:t>
            </w:r>
          </w:p>
        </w:tc>
        <w:tc>
          <w:tcPr>
            <w:tcW w:w="283" w:type="dxa"/>
            <w:noWrap/>
            <w:vAlign w:val="bottom"/>
          </w:tcPr>
          <w:p w14:paraId="43BFD65C" w14:textId="77777777" w:rsidR="00CC7D36" w:rsidRPr="00CA4A72" w:rsidRDefault="00CC7D36" w:rsidP="00CC7D36">
            <w:pPr>
              <w:spacing w:line="276" w:lineRule="auto"/>
              <w:ind w:firstLineChars="100" w:firstLine="140"/>
              <w:rPr>
                <w:rFonts w:asciiTheme="minorHAnsi" w:eastAsia="Times New Roman" w:hAnsiTheme="minorHAnsi" w:cstheme="minorHAnsi"/>
                <w:sz w:val="14"/>
                <w:szCs w:val="14"/>
                <w:lang w:eastAsia="en-GB"/>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318F6E60"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709.8</w:t>
            </w:r>
          </w:p>
        </w:tc>
        <w:tc>
          <w:tcPr>
            <w:tcW w:w="850" w:type="dxa"/>
            <w:tcBorders>
              <w:top w:val="nil"/>
              <w:left w:val="single" w:sz="4" w:space="0" w:color="auto"/>
              <w:bottom w:val="single" w:sz="4" w:space="0" w:color="auto"/>
              <w:right w:val="single" w:sz="4" w:space="0" w:color="auto"/>
            </w:tcBorders>
            <w:shd w:val="clear" w:color="auto" w:fill="auto"/>
            <w:vAlign w:val="center"/>
          </w:tcPr>
          <w:p w14:paraId="668A2261"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712.4</w:t>
            </w:r>
          </w:p>
        </w:tc>
        <w:tc>
          <w:tcPr>
            <w:tcW w:w="851" w:type="dxa"/>
            <w:tcBorders>
              <w:top w:val="nil"/>
              <w:left w:val="nil"/>
              <w:bottom w:val="single" w:sz="4" w:space="0" w:color="auto"/>
              <w:right w:val="single" w:sz="4" w:space="0" w:color="auto"/>
            </w:tcBorders>
            <w:shd w:val="clear" w:color="auto" w:fill="auto"/>
            <w:vAlign w:val="center"/>
          </w:tcPr>
          <w:p w14:paraId="5C55C458"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(0)%</w:t>
            </w:r>
          </w:p>
        </w:tc>
        <w:tc>
          <w:tcPr>
            <w:tcW w:w="850" w:type="dxa"/>
            <w:tcBorders>
              <w:top w:val="nil"/>
              <w:left w:val="nil"/>
              <w:bottom w:val="single" w:sz="4" w:space="0" w:color="auto"/>
              <w:right w:val="single" w:sz="4" w:space="0" w:color="auto"/>
            </w:tcBorders>
            <w:shd w:val="clear" w:color="auto" w:fill="auto"/>
            <w:vAlign w:val="center"/>
          </w:tcPr>
          <w:p w14:paraId="615A4D64"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r w:rsidRPr="00702A32">
              <w:rPr>
                <w:rFonts w:asciiTheme="minorHAnsi" w:hAnsiTheme="minorHAnsi" w:cstheme="minorHAnsi"/>
                <w:color w:val="000000"/>
                <w:sz w:val="14"/>
                <w:szCs w:val="14"/>
              </w:rPr>
              <w:t>(0)%</w:t>
            </w:r>
          </w:p>
        </w:tc>
        <w:tc>
          <w:tcPr>
            <w:tcW w:w="284" w:type="dxa"/>
            <w:noWrap/>
            <w:vAlign w:val="center"/>
          </w:tcPr>
          <w:p w14:paraId="6057E4F8"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26F7F0A9"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710.1</w:t>
            </w:r>
          </w:p>
        </w:tc>
        <w:tc>
          <w:tcPr>
            <w:tcW w:w="851" w:type="dxa"/>
            <w:tcBorders>
              <w:top w:val="nil"/>
              <w:left w:val="single" w:sz="4" w:space="0" w:color="auto"/>
              <w:bottom w:val="single" w:sz="4" w:space="0" w:color="auto"/>
              <w:right w:val="single" w:sz="4" w:space="0" w:color="auto"/>
            </w:tcBorders>
            <w:shd w:val="clear" w:color="auto" w:fill="auto"/>
            <w:vAlign w:val="center"/>
          </w:tcPr>
          <w:p w14:paraId="10D852D2"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714.0</w:t>
            </w:r>
          </w:p>
        </w:tc>
        <w:tc>
          <w:tcPr>
            <w:tcW w:w="850" w:type="dxa"/>
            <w:tcBorders>
              <w:top w:val="nil"/>
              <w:left w:val="nil"/>
              <w:bottom w:val="single" w:sz="4" w:space="0" w:color="auto"/>
              <w:right w:val="single" w:sz="4" w:space="0" w:color="auto"/>
            </w:tcBorders>
            <w:shd w:val="clear" w:color="auto" w:fill="auto"/>
            <w:vAlign w:val="center"/>
          </w:tcPr>
          <w:p w14:paraId="55EE0A72"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(1)%</w:t>
            </w:r>
          </w:p>
        </w:tc>
        <w:tc>
          <w:tcPr>
            <w:tcW w:w="851" w:type="dxa"/>
            <w:tcBorders>
              <w:top w:val="nil"/>
              <w:left w:val="nil"/>
              <w:bottom w:val="single" w:sz="4" w:space="0" w:color="auto"/>
              <w:right w:val="single" w:sz="4" w:space="0" w:color="auto"/>
            </w:tcBorders>
            <w:shd w:val="clear" w:color="auto" w:fill="auto"/>
            <w:vAlign w:val="center"/>
          </w:tcPr>
          <w:p w14:paraId="28138E2F" w14:textId="77777777" w:rsidR="00CC7D36" w:rsidRPr="00702A32" w:rsidRDefault="00CC7D36" w:rsidP="00CC7D36">
            <w:pPr>
              <w:spacing w:line="276" w:lineRule="auto"/>
              <w:jc w:val="center"/>
              <w:rPr>
                <w:rFonts w:asciiTheme="minorHAnsi" w:eastAsia="Times New Roman" w:hAnsiTheme="minorHAnsi" w:cstheme="minorHAnsi"/>
                <w:color w:val="000000"/>
                <w:sz w:val="14"/>
                <w:szCs w:val="14"/>
                <w:lang w:eastAsia="en-GB"/>
              </w:rPr>
            </w:pPr>
            <w:r w:rsidRPr="00702A32">
              <w:rPr>
                <w:rFonts w:asciiTheme="minorHAnsi" w:hAnsiTheme="minorHAnsi" w:cstheme="minorHAnsi"/>
                <w:color w:val="000000"/>
                <w:sz w:val="14"/>
                <w:szCs w:val="14"/>
              </w:rPr>
              <w:t>(1)%</w:t>
            </w:r>
          </w:p>
        </w:tc>
      </w:tr>
      <w:tr w:rsidR="00CC7D36" w:rsidRPr="00CA4A72" w14:paraId="4252EC68" w14:textId="77777777" w:rsidTr="00CC7D36">
        <w:trPr>
          <w:trHeight w:val="227"/>
        </w:trPr>
        <w:tc>
          <w:tcPr>
            <w:tcW w:w="1980" w:type="dxa"/>
            <w:tcBorders>
              <w:top w:val="nil"/>
              <w:left w:val="single" w:sz="4" w:space="0" w:color="auto"/>
              <w:bottom w:val="single" w:sz="4" w:space="0" w:color="auto"/>
              <w:right w:val="single" w:sz="4" w:space="0" w:color="auto"/>
            </w:tcBorders>
            <w:vAlign w:val="center"/>
            <w:hideMark/>
          </w:tcPr>
          <w:p w14:paraId="3AA6A064" w14:textId="77777777" w:rsidR="00CC7D36" w:rsidRPr="00CA4A72" w:rsidRDefault="00CC7D36" w:rsidP="00CC7D36">
            <w:pPr>
              <w:spacing w:line="276" w:lineRule="auto"/>
              <w:rPr>
                <w:rFonts w:asciiTheme="minorHAnsi" w:eastAsia="Times New Roman" w:hAnsiTheme="minorHAnsi" w:cstheme="minorHAnsi"/>
                <w:sz w:val="14"/>
                <w:szCs w:val="14"/>
                <w:lang w:eastAsia="en-GB"/>
              </w:rPr>
            </w:pPr>
            <w:r w:rsidRPr="00CA4A72">
              <w:rPr>
                <w:rFonts w:asciiTheme="minorHAnsi" w:hAnsiTheme="minorHAnsi" w:cstheme="minorHAnsi"/>
                <w:color w:val="000000"/>
                <w:sz w:val="14"/>
                <w:szCs w:val="14"/>
              </w:rPr>
              <w:t>Asia</w:t>
            </w:r>
          </w:p>
        </w:tc>
        <w:tc>
          <w:tcPr>
            <w:tcW w:w="283" w:type="dxa"/>
            <w:noWrap/>
            <w:vAlign w:val="bottom"/>
          </w:tcPr>
          <w:p w14:paraId="2564018F" w14:textId="77777777" w:rsidR="00CC7D36" w:rsidRPr="00CA4A72" w:rsidRDefault="00CC7D36" w:rsidP="00CC7D36">
            <w:pPr>
              <w:spacing w:line="276" w:lineRule="auto"/>
              <w:ind w:firstLineChars="100" w:firstLine="140"/>
              <w:rPr>
                <w:rFonts w:asciiTheme="minorHAnsi" w:eastAsia="Times New Roman" w:hAnsiTheme="minorHAnsi" w:cstheme="minorHAnsi"/>
                <w:sz w:val="14"/>
                <w:szCs w:val="14"/>
                <w:lang w:eastAsia="en-GB"/>
              </w:rPr>
            </w:pPr>
          </w:p>
        </w:tc>
        <w:tc>
          <w:tcPr>
            <w:tcW w:w="851" w:type="dxa"/>
            <w:tcBorders>
              <w:top w:val="nil"/>
              <w:left w:val="single" w:sz="4" w:space="0" w:color="auto"/>
              <w:bottom w:val="single" w:sz="4" w:space="0" w:color="auto"/>
              <w:right w:val="single" w:sz="4" w:space="0" w:color="auto"/>
            </w:tcBorders>
            <w:shd w:val="clear" w:color="000000" w:fill="FFFFFF"/>
            <w:vAlign w:val="center"/>
          </w:tcPr>
          <w:p w14:paraId="089C8DA4"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505.0</w:t>
            </w:r>
          </w:p>
        </w:tc>
        <w:tc>
          <w:tcPr>
            <w:tcW w:w="850" w:type="dxa"/>
            <w:tcBorders>
              <w:top w:val="nil"/>
              <w:left w:val="single" w:sz="4" w:space="0" w:color="auto"/>
              <w:bottom w:val="single" w:sz="4" w:space="0" w:color="auto"/>
              <w:right w:val="single" w:sz="4" w:space="0" w:color="auto"/>
            </w:tcBorders>
            <w:shd w:val="clear" w:color="auto" w:fill="auto"/>
            <w:vAlign w:val="center"/>
          </w:tcPr>
          <w:p w14:paraId="78F27303"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476.0</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08334144"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6%</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315B74E4" w14:textId="77777777" w:rsidR="00CC7D36" w:rsidRPr="00702A32" w:rsidRDefault="00CC7D36" w:rsidP="00CC7D36">
            <w:pPr>
              <w:spacing w:line="276" w:lineRule="auto"/>
              <w:jc w:val="center"/>
              <w:rPr>
                <w:rFonts w:asciiTheme="minorHAnsi" w:eastAsia="Times New Roman" w:hAnsiTheme="minorHAnsi" w:cstheme="minorHAnsi"/>
                <w:b/>
                <w:bCs/>
                <w:color w:val="005386"/>
                <w:sz w:val="14"/>
                <w:szCs w:val="14"/>
                <w:lang w:eastAsia="en-GB"/>
              </w:rPr>
            </w:pPr>
            <w:r w:rsidRPr="00702A32">
              <w:rPr>
                <w:rFonts w:asciiTheme="minorHAnsi" w:hAnsiTheme="minorHAnsi" w:cstheme="minorHAnsi"/>
                <w:color w:val="000000"/>
                <w:sz w:val="14"/>
                <w:szCs w:val="14"/>
              </w:rPr>
              <w:t>5%</w:t>
            </w:r>
          </w:p>
        </w:tc>
        <w:tc>
          <w:tcPr>
            <w:tcW w:w="284" w:type="dxa"/>
            <w:noWrap/>
            <w:vAlign w:val="center"/>
          </w:tcPr>
          <w:p w14:paraId="1CA02898" w14:textId="77777777" w:rsidR="00CC7D36" w:rsidRPr="00702A32" w:rsidRDefault="00CC7D36" w:rsidP="00CC7D36">
            <w:pPr>
              <w:spacing w:line="276" w:lineRule="auto"/>
              <w:jc w:val="center"/>
              <w:rPr>
                <w:rFonts w:asciiTheme="minorHAnsi" w:eastAsia="Times New Roman" w:hAnsiTheme="minorHAnsi" w:cstheme="minorHAnsi"/>
                <w:b/>
                <w:bCs/>
                <w:color w:val="005386"/>
                <w:sz w:val="14"/>
                <w:szCs w:val="14"/>
                <w:lang w:eastAsia="en-GB"/>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474219EC"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505.3</w:t>
            </w:r>
          </w:p>
        </w:tc>
        <w:tc>
          <w:tcPr>
            <w:tcW w:w="851" w:type="dxa"/>
            <w:tcBorders>
              <w:top w:val="nil"/>
              <w:left w:val="single" w:sz="4" w:space="0" w:color="auto"/>
              <w:bottom w:val="single" w:sz="4" w:space="0" w:color="auto"/>
              <w:right w:val="single" w:sz="4" w:space="0" w:color="auto"/>
            </w:tcBorders>
            <w:shd w:val="clear" w:color="auto" w:fill="auto"/>
            <w:vAlign w:val="center"/>
          </w:tcPr>
          <w:p w14:paraId="4DE9503F"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sz w:val="14"/>
                <w:szCs w:val="14"/>
              </w:rPr>
              <w:t>476.0</w:t>
            </w:r>
          </w:p>
        </w:tc>
        <w:tc>
          <w:tcPr>
            <w:tcW w:w="850" w:type="dxa"/>
            <w:tcBorders>
              <w:top w:val="nil"/>
              <w:left w:val="nil"/>
              <w:bottom w:val="single" w:sz="4" w:space="0" w:color="auto"/>
              <w:right w:val="single" w:sz="4" w:space="0" w:color="auto"/>
            </w:tcBorders>
            <w:shd w:val="clear" w:color="000000" w:fill="FFFFFF"/>
            <w:vAlign w:val="center"/>
          </w:tcPr>
          <w:p w14:paraId="0AB84EBE"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6%</w:t>
            </w:r>
          </w:p>
        </w:tc>
        <w:tc>
          <w:tcPr>
            <w:tcW w:w="851" w:type="dxa"/>
            <w:tcBorders>
              <w:top w:val="nil"/>
              <w:left w:val="nil"/>
              <w:bottom w:val="single" w:sz="4" w:space="0" w:color="auto"/>
              <w:right w:val="single" w:sz="4" w:space="0" w:color="auto"/>
            </w:tcBorders>
            <w:shd w:val="clear" w:color="auto" w:fill="auto"/>
            <w:vAlign w:val="center"/>
          </w:tcPr>
          <w:p w14:paraId="5BB177EF" w14:textId="77777777" w:rsidR="00CC7D36" w:rsidRPr="00702A32" w:rsidRDefault="00CC7D36" w:rsidP="00CC7D36">
            <w:pPr>
              <w:spacing w:line="276" w:lineRule="auto"/>
              <w:jc w:val="center"/>
              <w:rPr>
                <w:rFonts w:asciiTheme="minorHAnsi" w:eastAsia="Times New Roman" w:hAnsiTheme="minorHAnsi" w:cstheme="minorHAnsi"/>
                <w:sz w:val="14"/>
                <w:szCs w:val="14"/>
                <w:lang w:eastAsia="en-GB"/>
              </w:rPr>
            </w:pPr>
            <w:r w:rsidRPr="00702A32">
              <w:rPr>
                <w:rFonts w:asciiTheme="minorHAnsi" w:hAnsiTheme="minorHAnsi" w:cstheme="minorHAnsi"/>
                <w:color w:val="000000"/>
                <w:sz w:val="14"/>
                <w:szCs w:val="14"/>
              </w:rPr>
              <w:t>5%</w:t>
            </w:r>
          </w:p>
        </w:tc>
      </w:tr>
    </w:tbl>
    <w:p w14:paraId="6B2780AE" w14:textId="77777777" w:rsidR="00CC7D36" w:rsidRPr="00F244C4" w:rsidRDefault="00CC7D36" w:rsidP="00F244C4">
      <w:pPr>
        <w:tabs>
          <w:tab w:val="left" w:pos="-720"/>
        </w:tabs>
        <w:suppressAutoHyphens/>
        <w:spacing w:after="240"/>
        <w:jc w:val="both"/>
        <w:rPr>
          <w:rFonts w:asciiTheme="minorHAnsi" w:hAnsiTheme="minorHAnsi" w:cstheme="minorHAnsi"/>
          <w:sz w:val="24"/>
        </w:rPr>
      </w:pPr>
    </w:p>
    <w:p w14:paraId="5C473A18" w14:textId="77777777" w:rsidR="00D433FF" w:rsidRDefault="00366201" w:rsidP="00366201">
      <w:pPr>
        <w:jc w:val="both"/>
        <w:rPr>
          <w:rFonts w:asciiTheme="minorHAnsi" w:hAnsiTheme="minorHAnsi" w:cstheme="minorHAnsi"/>
          <w:b/>
        </w:rPr>
      </w:pPr>
      <w:r>
        <w:rPr>
          <w:rFonts w:asciiTheme="minorHAnsi" w:hAnsiTheme="minorHAnsi" w:cstheme="minorHAnsi"/>
          <w:b/>
        </w:rPr>
        <w:t>H1</w:t>
      </w:r>
      <w:r w:rsidRPr="00E26714">
        <w:rPr>
          <w:rFonts w:asciiTheme="minorHAnsi" w:hAnsiTheme="minorHAnsi" w:cstheme="minorHAnsi"/>
          <w:b/>
        </w:rPr>
        <w:t xml:space="preserve"> Revenue Review</w:t>
      </w:r>
    </w:p>
    <w:p w14:paraId="32DCDB91" w14:textId="77777777" w:rsidR="00D433FF" w:rsidRDefault="00D433FF" w:rsidP="00366201">
      <w:pPr>
        <w:jc w:val="both"/>
        <w:rPr>
          <w:rFonts w:asciiTheme="minorHAnsi" w:hAnsiTheme="minorHAnsi" w:cstheme="minorHAnsi"/>
          <w:b/>
        </w:rPr>
      </w:pPr>
    </w:p>
    <w:p w14:paraId="03DD704F" w14:textId="50F6A4F5" w:rsidR="00366201" w:rsidRDefault="001E7E98" w:rsidP="00366201">
      <w:pPr>
        <w:spacing w:after="160" w:line="259" w:lineRule="auto"/>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00837A41">
        <w:rPr>
          <w:rFonts w:asciiTheme="minorHAnsi" w:hAnsiTheme="minorHAnsi" w:cstheme="minorHAnsi"/>
        </w:rPr>
        <w:t>IFRS t</w:t>
      </w:r>
      <w:r w:rsidR="00366201" w:rsidRPr="00E26714">
        <w:rPr>
          <w:rFonts w:asciiTheme="minorHAnsi" w:hAnsiTheme="minorHAnsi" w:cstheme="minorHAnsi"/>
        </w:rPr>
        <w:t xml:space="preserve">otal revenue increased </w:t>
      </w:r>
      <w:r w:rsidR="00525EF4" w:rsidRPr="00525EF4">
        <w:rPr>
          <w:rFonts w:asciiTheme="minorHAnsi" w:hAnsiTheme="minorHAnsi" w:cstheme="minorHAnsi"/>
        </w:rPr>
        <w:t>14%</w:t>
      </w:r>
      <w:r w:rsidR="00837A41">
        <w:rPr>
          <w:rFonts w:asciiTheme="minorHAnsi" w:hAnsiTheme="minorHAnsi" w:cstheme="minorHAnsi"/>
        </w:rPr>
        <w:t xml:space="preserve">. On a non-IFRS basis, total revenue </w:t>
      </w:r>
      <w:r w:rsidR="00C14603">
        <w:rPr>
          <w:rFonts w:asciiTheme="minorHAnsi" w:hAnsiTheme="minorHAnsi" w:cstheme="minorHAnsi"/>
        </w:rPr>
        <w:t xml:space="preserve">also </w:t>
      </w:r>
      <w:r w:rsidR="00837A41">
        <w:rPr>
          <w:rFonts w:asciiTheme="minorHAnsi" w:hAnsiTheme="minorHAnsi" w:cstheme="minorHAnsi"/>
        </w:rPr>
        <w:t>increased 14%</w:t>
      </w:r>
      <w:r w:rsidR="00016651">
        <w:rPr>
          <w:rFonts w:asciiTheme="minorHAnsi" w:hAnsiTheme="minorHAnsi" w:cstheme="minorHAnsi"/>
        </w:rPr>
        <w:t xml:space="preserve"> on the inclusion of the </w:t>
      </w:r>
      <w:proofErr w:type="spellStart"/>
      <w:r w:rsidR="00016651">
        <w:rPr>
          <w:rFonts w:asciiTheme="minorHAnsi" w:hAnsiTheme="minorHAnsi" w:cstheme="minorHAnsi"/>
        </w:rPr>
        <w:t>Medidata</w:t>
      </w:r>
      <w:proofErr w:type="spellEnd"/>
      <w:r w:rsidR="00016651">
        <w:rPr>
          <w:rFonts w:asciiTheme="minorHAnsi" w:hAnsiTheme="minorHAnsi" w:cstheme="minorHAnsi"/>
        </w:rPr>
        <w:t xml:space="preserve"> offset in part by lower revenues of 5% on an organic basis due to </w:t>
      </w:r>
      <w:r w:rsidR="006124BD">
        <w:rPr>
          <w:rFonts w:asciiTheme="minorHAnsi" w:hAnsiTheme="minorHAnsi" w:cstheme="minorHAnsi"/>
        </w:rPr>
        <w:t xml:space="preserve">the </w:t>
      </w:r>
      <w:r w:rsidR="00366201">
        <w:rPr>
          <w:rFonts w:asciiTheme="minorHAnsi" w:hAnsiTheme="minorHAnsi" w:cstheme="minorHAnsi"/>
        </w:rPr>
        <w:t>impact</w:t>
      </w:r>
      <w:r w:rsidR="00016651">
        <w:rPr>
          <w:rFonts w:asciiTheme="minorHAnsi" w:hAnsiTheme="minorHAnsi" w:cstheme="minorHAnsi"/>
        </w:rPr>
        <w:t xml:space="preserve"> of the global pandemic.</w:t>
      </w:r>
      <w:r w:rsidR="00366201" w:rsidRPr="0084040D">
        <w:rPr>
          <w:rFonts w:asciiTheme="minorHAnsi" w:hAnsiTheme="minorHAnsi" w:cstheme="minorHAnsi"/>
        </w:rPr>
        <w:t xml:space="preserve"> </w:t>
      </w:r>
      <w:r>
        <w:rPr>
          <w:rFonts w:asciiTheme="minorHAnsi" w:hAnsiTheme="minorHAnsi" w:cstheme="minorHAnsi"/>
        </w:rPr>
        <w:t>(All growth rates at constant currencies.)</w:t>
      </w:r>
    </w:p>
    <w:p w14:paraId="148F08D5" w14:textId="0A6AE193" w:rsidR="00383AB6" w:rsidRDefault="00366201" w:rsidP="00366201">
      <w:pPr>
        <w:spacing w:after="160" w:line="259" w:lineRule="auto"/>
        <w:jc w:val="both"/>
        <w:rPr>
          <w:rFonts w:cstheme="minorHAnsi"/>
          <w:bCs/>
          <w:iCs/>
        </w:rPr>
      </w:pPr>
      <w:r w:rsidRPr="00E26714">
        <w:rPr>
          <w:rFonts w:asciiTheme="minorHAnsi" w:hAnsiTheme="minorHAnsi" w:cstheme="minorHAnsi"/>
        </w:rPr>
        <w:t>•</w:t>
      </w:r>
      <w:r w:rsidRPr="00E26714">
        <w:rPr>
          <w:rFonts w:asciiTheme="minorHAnsi" w:hAnsiTheme="minorHAnsi" w:cstheme="minorHAnsi"/>
        </w:rPr>
        <w:tab/>
      </w:r>
      <w:r w:rsidR="00525EF4">
        <w:rPr>
          <w:rFonts w:asciiTheme="minorHAnsi" w:hAnsiTheme="minorHAnsi" w:cstheme="minorHAnsi"/>
        </w:rPr>
        <w:t>IFRS s</w:t>
      </w:r>
      <w:r w:rsidRPr="00E26714">
        <w:rPr>
          <w:rFonts w:cstheme="minorHAnsi"/>
        </w:rPr>
        <w:t xml:space="preserve">oftware revenue </w:t>
      </w:r>
      <w:r w:rsidR="00837A41">
        <w:rPr>
          <w:rFonts w:cstheme="minorHAnsi"/>
        </w:rPr>
        <w:t>increased</w:t>
      </w:r>
      <w:r w:rsidRPr="00E26714">
        <w:rPr>
          <w:rFonts w:cstheme="minorHAnsi"/>
        </w:rPr>
        <w:t xml:space="preserve"> </w:t>
      </w:r>
      <w:r w:rsidR="00525EF4">
        <w:rPr>
          <w:rFonts w:cstheme="minorHAnsi"/>
        </w:rPr>
        <w:t xml:space="preserve">15%. </w:t>
      </w:r>
      <w:r w:rsidR="00D433FF">
        <w:rPr>
          <w:rFonts w:cstheme="minorHAnsi"/>
        </w:rPr>
        <w:t xml:space="preserve">Non-IFRS </w:t>
      </w:r>
      <w:r w:rsidR="00837A41">
        <w:rPr>
          <w:rFonts w:cstheme="minorHAnsi"/>
        </w:rPr>
        <w:t xml:space="preserve">software revenue increased 15%, </w:t>
      </w:r>
      <w:r w:rsidR="00D433FF">
        <w:rPr>
          <w:rFonts w:cstheme="minorHAnsi"/>
        </w:rPr>
        <w:t>reflecting</w:t>
      </w:r>
      <w:r w:rsidR="000833D2">
        <w:rPr>
          <w:rFonts w:cstheme="minorHAnsi"/>
        </w:rPr>
        <w:t xml:space="preserve"> </w:t>
      </w:r>
      <w:r w:rsidR="00366D3C">
        <w:rPr>
          <w:rFonts w:cstheme="minorHAnsi"/>
        </w:rPr>
        <w:t xml:space="preserve">non-IFRS </w:t>
      </w:r>
      <w:r w:rsidR="000833D2">
        <w:rPr>
          <w:rFonts w:cstheme="minorHAnsi"/>
        </w:rPr>
        <w:t>recurring softw</w:t>
      </w:r>
      <w:r w:rsidR="00D433FF">
        <w:rPr>
          <w:rFonts w:cstheme="minorHAnsi"/>
        </w:rPr>
        <w:t xml:space="preserve">are revenue growth of 30% with the addition of </w:t>
      </w:r>
      <w:proofErr w:type="spellStart"/>
      <w:r w:rsidR="00D433FF">
        <w:rPr>
          <w:rFonts w:cstheme="minorHAnsi"/>
        </w:rPr>
        <w:t>Medidata</w:t>
      </w:r>
      <w:proofErr w:type="spellEnd"/>
      <w:r w:rsidR="00D433FF">
        <w:rPr>
          <w:rFonts w:cstheme="minorHAnsi"/>
        </w:rPr>
        <w:t xml:space="preserve"> and organic growth of 5%, while </w:t>
      </w:r>
      <w:r w:rsidR="00366D3C">
        <w:rPr>
          <w:rFonts w:cstheme="minorHAnsi"/>
        </w:rPr>
        <w:t xml:space="preserve">non-IFRS </w:t>
      </w:r>
      <w:r w:rsidR="00D433FF">
        <w:rPr>
          <w:rFonts w:cstheme="minorHAnsi"/>
        </w:rPr>
        <w:t>new licenses and other software revenue decreased 27% on C</w:t>
      </w:r>
      <w:r w:rsidR="007A1753">
        <w:rPr>
          <w:rFonts w:cstheme="minorHAnsi"/>
        </w:rPr>
        <w:t>OVID</w:t>
      </w:r>
      <w:r w:rsidR="00D433FF">
        <w:rPr>
          <w:rFonts w:cstheme="minorHAnsi"/>
        </w:rPr>
        <w:t>-19 demand erosion</w:t>
      </w:r>
      <w:r w:rsidR="00837A41">
        <w:rPr>
          <w:rFonts w:cstheme="minorHAnsi"/>
        </w:rPr>
        <w:t xml:space="preserve">. </w:t>
      </w:r>
      <w:r>
        <w:rPr>
          <w:rFonts w:cstheme="minorHAnsi"/>
        </w:rPr>
        <w:t>Non-IFRS recurring software revenue</w:t>
      </w:r>
      <w:r w:rsidR="00D433FF">
        <w:rPr>
          <w:rFonts w:cstheme="minorHAnsi"/>
        </w:rPr>
        <w:t xml:space="preserve"> represented 83% of non-IFRS software</w:t>
      </w:r>
      <w:r w:rsidR="00525EF4">
        <w:rPr>
          <w:rFonts w:cstheme="minorHAnsi"/>
        </w:rPr>
        <w:t xml:space="preserve"> </w:t>
      </w:r>
      <w:r w:rsidR="00CA2B32">
        <w:rPr>
          <w:rFonts w:cstheme="minorHAnsi"/>
        </w:rPr>
        <w:t xml:space="preserve">revenue </w:t>
      </w:r>
      <w:r w:rsidR="00525EF4">
        <w:rPr>
          <w:rFonts w:cstheme="minorHAnsi"/>
        </w:rPr>
        <w:t xml:space="preserve">and totaled </w:t>
      </w:r>
      <w:r w:rsidR="00525EF4">
        <w:t>€</w:t>
      </w:r>
      <w:r w:rsidR="00525EF4">
        <w:rPr>
          <w:rFonts w:cstheme="minorHAnsi"/>
        </w:rPr>
        <w:t>1.64 billion for the 2020 First Half</w:t>
      </w:r>
      <w:r w:rsidR="00D433FF">
        <w:rPr>
          <w:rFonts w:cstheme="minorHAnsi"/>
        </w:rPr>
        <w:t>.</w:t>
      </w:r>
      <w:r w:rsidRPr="00A80A0C">
        <w:rPr>
          <w:rFonts w:cstheme="minorHAnsi"/>
          <w:bCs/>
          <w:iCs/>
        </w:rPr>
        <w:t xml:space="preserve"> </w:t>
      </w:r>
      <w:r w:rsidR="00716935">
        <w:rPr>
          <w:rFonts w:asciiTheme="minorHAnsi" w:hAnsiTheme="minorHAnsi" w:cstheme="minorHAnsi"/>
        </w:rPr>
        <w:t>(All growth rates at constant currencies.)</w:t>
      </w:r>
    </w:p>
    <w:p w14:paraId="1E81A14D" w14:textId="2FFC6807" w:rsidR="006E4DE9" w:rsidRPr="00B76AE3" w:rsidRDefault="00B76AE3" w:rsidP="0030605B">
      <w:pPr>
        <w:spacing w:after="160" w:line="259" w:lineRule="auto"/>
        <w:jc w:val="both"/>
        <w:rPr>
          <w:rFonts w:cstheme="minorHAnsi"/>
        </w:rPr>
      </w:pPr>
      <w:r w:rsidRPr="00E26714">
        <w:rPr>
          <w:rFonts w:asciiTheme="minorHAnsi" w:hAnsiTheme="minorHAnsi" w:cstheme="minorHAnsi"/>
        </w:rPr>
        <w:t>•</w:t>
      </w:r>
      <w:r w:rsidRPr="00E26714">
        <w:rPr>
          <w:rFonts w:asciiTheme="minorHAnsi" w:hAnsiTheme="minorHAnsi" w:cstheme="minorHAnsi"/>
        </w:rPr>
        <w:tab/>
      </w:r>
      <w:r w:rsidR="00383AB6" w:rsidRPr="0030605B">
        <w:rPr>
          <w:rFonts w:asciiTheme="minorHAnsi" w:hAnsiTheme="minorHAnsi" w:cstheme="minorHAnsi"/>
        </w:rPr>
        <w:t>On a regional b</w:t>
      </w:r>
      <w:r w:rsidR="0020640A" w:rsidRPr="0030605B">
        <w:rPr>
          <w:rFonts w:asciiTheme="minorHAnsi" w:hAnsiTheme="minorHAnsi" w:cstheme="minorHAnsi"/>
        </w:rPr>
        <w:t>asis and in constant currencies:</w:t>
      </w:r>
      <w:r w:rsidR="00383AB6" w:rsidRPr="0030605B">
        <w:rPr>
          <w:rFonts w:asciiTheme="minorHAnsi" w:hAnsiTheme="minorHAnsi" w:cstheme="minorHAnsi"/>
        </w:rPr>
        <w:t xml:space="preserve"> </w:t>
      </w:r>
      <w:r w:rsidR="00312E13">
        <w:rPr>
          <w:rFonts w:asciiTheme="minorHAnsi" w:hAnsiTheme="minorHAnsi" w:cstheme="minorHAnsi"/>
        </w:rPr>
        <w:t>N</w:t>
      </w:r>
      <w:r w:rsidR="00383AB6" w:rsidRPr="0030605B">
        <w:rPr>
          <w:rFonts w:asciiTheme="minorHAnsi" w:hAnsiTheme="minorHAnsi" w:cstheme="minorHAnsi"/>
        </w:rPr>
        <w:t>on-IFRS software revenue increased 44</w:t>
      </w:r>
      <w:r w:rsidR="009C4C45" w:rsidRPr="0030605B">
        <w:rPr>
          <w:rFonts w:asciiTheme="minorHAnsi" w:hAnsiTheme="minorHAnsi" w:cstheme="minorHAnsi"/>
        </w:rPr>
        <w:t xml:space="preserve">% in the </w:t>
      </w:r>
      <w:r w:rsidR="0020640A" w:rsidRPr="0030605B">
        <w:rPr>
          <w:rFonts w:asciiTheme="minorHAnsi" w:hAnsiTheme="minorHAnsi" w:cstheme="minorHAnsi"/>
        </w:rPr>
        <w:t xml:space="preserve">Americas, led by the addition of </w:t>
      </w:r>
      <w:proofErr w:type="spellStart"/>
      <w:r w:rsidR="0020640A" w:rsidRPr="0030605B">
        <w:rPr>
          <w:rFonts w:asciiTheme="minorHAnsi" w:hAnsiTheme="minorHAnsi" w:cstheme="minorHAnsi"/>
        </w:rPr>
        <w:t>Medidata</w:t>
      </w:r>
      <w:proofErr w:type="spellEnd"/>
      <w:r w:rsidR="0020640A" w:rsidRPr="0030605B">
        <w:rPr>
          <w:rFonts w:asciiTheme="minorHAnsi" w:hAnsiTheme="minorHAnsi" w:cstheme="minorHAnsi"/>
        </w:rPr>
        <w:t xml:space="preserve"> with a large proportion of its software revenues in North America</w:t>
      </w:r>
      <w:r w:rsidR="006863B9" w:rsidRPr="0030605B">
        <w:rPr>
          <w:rFonts w:asciiTheme="minorHAnsi" w:hAnsiTheme="minorHAnsi" w:cstheme="minorHAnsi"/>
        </w:rPr>
        <w:t xml:space="preserve"> and growth in Aerospace &amp; Defense</w:t>
      </w:r>
      <w:r w:rsidR="00563423" w:rsidRPr="0030605B">
        <w:rPr>
          <w:rFonts w:asciiTheme="minorHAnsi" w:hAnsiTheme="minorHAnsi" w:cstheme="minorHAnsi"/>
        </w:rPr>
        <w:t xml:space="preserve">. </w:t>
      </w:r>
      <w:r w:rsidR="00312E13">
        <w:rPr>
          <w:rFonts w:asciiTheme="minorHAnsi" w:hAnsiTheme="minorHAnsi" w:cstheme="minorHAnsi"/>
        </w:rPr>
        <w:t>Non-IFRS software revenue i</w:t>
      </w:r>
      <w:r w:rsidR="00563423" w:rsidRPr="0030605B">
        <w:rPr>
          <w:rFonts w:asciiTheme="minorHAnsi" w:hAnsiTheme="minorHAnsi" w:cstheme="minorHAnsi"/>
        </w:rPr>
        <w:t>ncrease</w:t>
      </w:r>
      <w:r w:rsidR="00312E13">
        <w:rPr>
          <w:rFonts w:asciiTheme="minorHAnsi" w:hAnsiTheme="minorHAnsi" w:cstheme="minorHAnsi"/>
        </w:rPr>
        <w:t>d</w:t>
      </w:r>
      <w:r w:rsidR="00563423" w:rsidRPr="0030605B">
        <w:rPr>
          <w:rFonts w:asciiTheme="minorHAnsi" w:hAnsiTheme="minorHAnsi" w:cstheme="minorHAnsi"/>
        </w:rPr>
        <w:t xml:space="preserve"> </w:t>
      </w:r>
      <w:r w:rsidR="0020640A" w:rsidRPr="0030605B">
        <w:rPr>
          <w:rFonts w:asciiTheme="minorHAnsi" w:hAnsiTheme="minorHAnsi" w:cstheme="minorHAnsi"/>
        </w:rPr>
        <w:t>5% in Asia</w:t>
      </w:r>
      <w:r w:rsidR="00377D0B" w:rsidRPr="0030605B">
        <w:rPr>
          <w:rFonts w:asciiTheme="minorHAnsi" w:hAnsiTheme="minorHAnsi" w:cstheme="minorHAnsi"/>
        </w:rPr>
        <w:t xml:space="preserve"> on strong growth in </w:t>
      </w:r>
      <w:r w:rsidR="00876D11">
        <w:rPr>
          <w:rFonts w:asciiTheme="minorHAnsi" w:hAnsiTheme="minorHAnsi" w:cstheme="minorHAnsi"/>
        </w:rPr>
        <w:t xml:space="preserve">Asia Pacific </w:t>
      </w:r>
      <w:r w:rsidR="00C14603">
        <w:rPr>
          <w:rFonts w:asciiTheme="minorHAnsi" w:hAnsiTheme="minorHAnsi" w:cstheme="minorHAnsi"/>
        </w:rPr>
        <w:t xml:space="preserve">South </w:t>
      </w:r>
      <w:r w:rsidR="00377D0B" w:rsidRPr="0030605B">
        <w:rPr>
          <w:rFonts w:asciiTheme="minorHAnsi" w:hAnsiTheme="minorHAnsi" w:cstheme="minorHAnsi"/>
        </w:rPr>
        <w:t xml:space="preserve">and </w:t>
      </w:r>
      <w:r w:rsidR="00312E13">
        <w:rPr>
          <w:rFonts w:asciiTheme="minorHAnsi" w:hAnsiTheme="minorHAnsi" w:cstheme="minorHAnsi"/>
        </w:rPr>
        <w:t xml:space="preserve">with </w:t>
      </w:r>
      <w:r w:rsidR="00377D0B" w:rsidRPr="0030605B">
        <w:rPr>
          <w:rFonts w:asciiTheme="minorHAnsi" w:hAnsiTheme="minorHAnsi" w:cstheme="minorHAnsi"/>
        </w:rPr>
        <w:t>Japan and China showing good resiliency. In Europe, non-IFRS software revenue</w:t>
      </w:r>
      <w:r w:rsidR="00383AB6" w:rsidRPr="0030605B">
        <w:rPr>
          <w:rFonts w:asciiTheme="minorHAnsi" w:hAnsiTheme="minorHAnsi" w:cstheme="minorHAnsi"/>
        </w:rPr>
        <w:t xml:space="preserve"> dec</w:t>
      </w:r>
      <w:r w:rsidR="0020640A" w:rsidRPr="0030605B">
        <w:rPr>
          <w:rFonts w:asciiTheme="minorHAnsi" w:hAnsiTheme="minorHAnsi" w:cstheme="minorHAnsi"/>
        </w:rPr>
        <w:t>reased</w:t>
      </w:r>
      <w:r w:rsidR="00377D0B" w:rsidRPr="0030605B">
        <w:rPr>
          <w:rFonts w:asciiTheme="minorHAnsi" w:hAnsiTheme="minorHAnsi" w:cstheme="minorHAnsi"/>
        </w:rPr>
        <w:t xml:space="preserve"> 1%</w:t>
      </w:r>
      <w:r w:rsidR="00B9137F" w:rsidRPr="0030605B">
        <w:rPr>
          <w:rFonts w:asciiTheme="minorHAnsi" w:hAnsiTheme="minorHAnsi" w:cstheme="minorHAnsi"/>
        </w:rPr>
        <w:t xml:space="preserve"> with a similar performance across the major geo</w:t>
      </w:r>
      <w:r w:rsidR="00C927C1">
        <w:rPr>
          <w:rFonts w:asciiTheme="minorHAnsi" w:hAnsiTheme="minorHAnsi" w:cstheme="minorHAnsi"/>
        </w:rPr>
        <w:t>graphie</w:t>
      </w:r>
      <w:r w:rsidR="00B9137F" w:rsidRPr="0030605B">
        <w:rPr>
          <w:rFonts w:asciiTheme="minorHAnsi" w:hAnsiTheme="minorHAnsi" w:cstheme="minorHAnsi"/>
        </w:rPr>
        <w:t>s</w:t>
      </w:r>
      <w:r w:rsidR="00383AB6" w:rsidRPr="0030605B">
        <w:rPr>
          <w:rFonts w:asciiTheme="minorHAnsi" w:hAnsiTheme="minorHAnsi" w:cstheme="minorHAnsi"/>
        </w:rPr>
        <w:t xml:space="preserve">. </w:t>
      </w:r>
      <w:r w:rsidR="00C927C1">
        <w:rPr>
          <w:rFonts w:asciiTheme="minorHAnsi" w:hAnsiTheme="minorHAnsi" w:cstheme="minorHAnsi"/>
        </w:rPr>
        <w:t>N</w:t>
      </w:r>
      <w:r w:rsidR="00366D3C">
        <w:rPr>
          <w:rFonts w:asciiTheme="minorHAnsi" w:hAnsiTheme="minorHAnsi" w:cstheme="minorHAnsi"/>
        </w:rPr>
        <w:t xml:space="preserve">on-IFRS </w:t>
      </w:r>
      <w:r w:rsidR="00383AB6" w:rsidRPr="0030605B">
        <w:rPr>
          <w:rFonts w:asciiTheme="minorHAnsi" w:hAnsiTheme="minorHAnsi" w:cstheme="minorHAnsi"/>
        </w:rPr>
        <w:t xml:space="preserve">recurring software revenue </w:t>
      </w:r>
      <w:r w:rsidR="00551894" w:rsidRPr="0030605B">
        <w:rPr>
          <w:rFonts w:asciiTheme="minorHAnsi" w:hAnsiTheme="minorHAnsi" w:cstheme="minorHAnsi"/>
        </w:rPr>
        <w:t>grew year over year across</w:t>
      </w:r>
      <w:r w:rsidR="00D661D7" w:rsidRPr="0030605B">
        <w:rPr>
          <w:rFonts w:asciiTheme="minorHAnsi" w:hAnsiTheme="minorHAnsi" w:cstheme="minorHAnsi"/>
        </w:rPr>
        <w:t xml:space="preserve"> the</w:t>
      </w:r>
      <w:r w:rsidR="00551894" w:rsidRPr="0030605B">
        <w:rPr>
          <w:rFonts w:asciiTheme="minorHAnsi" w:hAnsiTheme="minorHAnsi" w:cstheme="minorHAnsi"/>
        </w:rPr>
        <w:t xml:space="preserve"> three regions with all geo</w:t>
      </w:r>
      <w:r w:rsidR="0008269C">
        <w:rPr>
          <w:rFonts w:asciiTheme="minorHAnsi" w:hAnsiTheme="minorHAnsi" w:cstheme="minorHAnsi"/>
        </w:rPr>
        <w:t>graphie</w:t>
      </w:r>
      <w:r w:rsidR="00551894" w:rsidRPr="0030605B">
        <w:rPr>
          <w:rFonts w:asciiTheme="minorHAnsi" w:hAnsiTheme="minorHAnsi" w:cstheme="minorHAnsi"/>
        </w:rPr>
        <w:t>s perf</w:t>
      </w:r>
      <w:r w:rsidR="00D661D7" w:rsidRPr="0030605B">
        <w:rPr>
          <w:rFonts w:asciiTheme="minorHAnsi" w:hAnsiTheme="minorHAnsi" w:cstheme="minorHAnsi"/>
        </w:rPr>
        <w:t>orming well in line with business goals</w:t>
      </w:r>
      <w:r w:rsidR="00645C94" w:rsidRPr="0030605B">
        <w:rPr>
          <w:rFonts w:asciiTheme="minorHAnsi" w:hAnsiTheme="minorHAnsi" w:cstheme="minorHAnsi"/>
        </w:rPr>
        <w:t>.</w:t>
      </w:r>
      <w:r w:rsidR="007E3EAC" w:rsidRPr="0030605B">
        <w:rPr>
          <w:rFonts w:asciiTheme="minorHAnsi" w:hAnsiTheme="minorHAnsi" w:cstheme="minorHAnsi"/>
        </w:rPr>
        <w:t xml:space="preserve"> On an organic basis,</w:t>
      </w:r>
      <w:r w:rsidR="00366D3C">
        <w:rPr>
          <w:rFonts w:asciiTheme="minorHAnsi" w:hAnsiTheme="minorHAnsi" w:cstheme="minorHAnsi"/>
        </w:rPr>
        <w:t xml:space="preserve"> non-IFRS </w:t>
      </w:r>
      <w:r w:rsidR="007E3EAC" w:rsidRPr="00B76AE3">
        <w:rPr>
          <w:rFonts w:asciiTheme="minorHAnsi" w:hAnsiTheme="minorHAnsi" w:cstheme="minorHAnsi"/>
        </w:rPr>
        <w:t>software revenue was flat in the Americas, and lower by 3% in Asia and 8% in Europe.</w:t>
      </w:r>
    </w:p>
    <w:p w14:paraId="2C060B5F" w14:textId="175361B8" w:rsidR="000F39A9" w:rsidRPr="00B76AE3" w:rsidRDefault="00B76AE3" w:rsidP="0030605B">
      <w:pPr>
        <w:spacing w:after="160" w:line="259" w:lineRule="auto"/>
        <w:jc w:val="both"/>
        <w:rPr>
          <w:rFonts w:cstheme="minorHAnsi"/>
          <w:bCs/>
          <w:iCs/>
        </w:rPr>
      </w:pPr>
      <w:r w:rsidRPr="00B76AE3">
        <w:rPr>
          <w:rFonts w:cstheme="minorHAnsi"/>
        </w:rPr>
        <w:t>•</w:t>
      </w:r>
      <w:r w:rsidRPr="00B76AE3">
        <w:rPr>
          <w:rFonts w:cstheme="minorHAnsi"/>
        </w:rPr>
        <w:tab/>
      </w:r>
      <w:r w:rsidR="000F39A9" w:rsidRPr="00B76AE3">
        <w:rPr>
          <w:rFonts w:cstheme="minorHAnsi"/>
          <w:bCs/>
          <w:iCs/>
        </w:rPr>
        <w:t>By industry sector</w:t>
      </w:r>
      <w:r w:rsidR="00D661D7" w:rsidRPr="00B76AE3">
        <w:rPr>
          <w:rFonts w:cstheme="minorHAnsi"/>
          <w:bCs/>
          <w:iCs/>
        </w:rPr>
        <w:t xml:space="preserve"> and in constant currencies</w:t>
      </w:r>
      <w:r w:rsidR="000F39A9" w:rsidRPr="00B76AE3">
        <w:rPr>
          <w:rFonts w:cstheme="minorHAnsi"/>
          <w:bCs/>
          <w:iCs/>
        </w:rPr>
        <w:t>, while Manufacturing Industries</w:t>
      </w:r>
      <w:r w:rsidR="00366D3C">
        <w:rPr>
          <w:rFonts w:cstheme="minorHAnsi"/>
          <w:bCs/>
          <w:iCs/>
        </w:rPr>
        <w:t xml:space="preserve"> non-IFRS</w:t>
      </w:r>
      <w:r w:rsidR="00D661D7" w:rsidRPr="00B76AE3">
        <w:rPr>
          <w:rFonts w:cstheme="minorHAnsi"/>
          <w:bCs/>
          <w:iCs/>
        </w:rPr>
        <w:t xml:space="preserve"> software revenue</w:t>
      </w:r>
      <w:r w:rsidR="000F39A9" w:rsidRPr="00B76AE3">
        <w:rPr>
          <w:rFonts w:cstheme="minorHAnsi"/>
          <w:bCs/>
          <w:iCs/>
        </w:rPr>
        <w:t xml:space="preserve"> decreased 5%</w:t>
      </w:r>
      <w:r w:rsidR="002C233D" w:rsidRPr="00B76AE3">
        <w:rPr>
          <w:rFonts w:cstheme="minorHAnsi"/>
          <w:bCs/>
          <w:iCs/>
        </w:rPr>
        <w:t xml:space="preserve"> in total</w:t>
      </w:r>
      <w:r w:rsidR="00D661D7" w:rsidRPr="00B76AE3">
        <w:rPr>
          <w:rFonts w:cstheme="minorHAnsi"/>
          <w:bCs/>
          <w:iCs/>
        </w:rPr>
        <w:t xml:space="preserve"> due to a </w:t>
      </w:r>
      <w:r w:rsidR="004658D9">
        <w:rPr>
          <w:rFonts w:cstheme="minorHAnsi"/>
          <w:bCs/>
          <w:iCs/>
        </w:rPr>
        <w:t>decline</w:t>
      </w:r>
      <w:r w:rsidR="004658D9" w:rsidRPr="00B76AE3">
        <w:rPr>
          <w:rFonts w:cstheme="minorHAnsi"/>
          <w:bCs/>
          <w:iCs/>
        </w:rPr>
        <w:t xml:space="preserve"> </w:t>
      </w:r>
      <w:r w:rsidR="000F39A9" w:rsidRPr="00B76AE3">
        <w:rPr>
          <w:rFonts w:cstheme="minorHAnsi"/>
          <w:bCs/>
          <w:iCs/>
        </w:rPr>
        <w:t>in Transportation &amp; Mobility, both Aerospace &amp; Defense and Consumer Packaged Goods-Retail grew year over year in the 2020 First Half.</w:t>
      </w:r>
      <w:r w:rsidR="00D661D7" w:rsidRPr="00B76AE3">
        <w:rPr>
          <w:rFonts w:cstheme="minorHAnsi"/>
          <w:bCs/>
          <w:iCs/>
        </w:rPr>
        <w:t xml:space="preserve"> Life Sciences </w:t>
      </w:r>
      <w:r w:rsidR="00366D3C">
        <w:rPr>
          <w:rFonts w:cstheme="minorHAnsi"/>
          <w:bCs/>
          <w:iCs/>
        </w:rPr>
        <w:t>&amp;</w:t>
      </w:r>
      <w:r w:rsidR="00BF0DFD">
        <w:rPr>
          <w:rFonts w:cstheme="minorHAnsi"/>
          <w:bCs/>
          <w:iCs/>
        </w:rPr>
        <w:t xml:space="preserve"> Healthcare </w:t>
      </w:r>
      <w:r w:rsidR="00366D3C">
        <w:rPr>
          <w:rFonts w:cstheme="minorHAnsi"/>
          <w:bCs/>
          <w:iCs/>
        </w:rPr>
        <w:t xml:space="preserve">non-IFRS </w:t>
      </w:r>
      <w:r w:rsidR="00D661D7" w:rsidRPr="00B76AE3">
        <w:rPr>
          <w:rFonts w:cstheme="minorHAnsi"/>
          <w:bCs/>
          <w:iCs/>
        </w:rPr>
        <w:t xml:space="preserve">software revenue increased significantly with the addition of </w:t>
      </w:r>
      <w:proofErr w:type="spellStart"/>
      <w:r w:rsidR="00D661D7" w:rsidRPr="00B76AE3">
        <w:rPr>
          <w:rFonts w:cstheme="minorHAnsi"/>
          <w:bCs/>
          <w:iCs/>
        </w:rPr>
        <w:t>Medidata</w:t>
      </w:r>
      <w:proofErr w:type="spellEnd"/>
      <w:r w:rsidR="00D661D7" w:rsidRPr="00B76AE3">
        <w:rPr>
          <w:rFonts w:cstheme="minorHAnsi"/>
          <w:bCs/>
          <w:iCs/>
        </w:rPr>
        <w:t xml:space="preserve"> and represented 21% of non-IFRS software revenue in the 2020 First Half. Infrastructure &amp; Cities </w:t>
      </w:r>
      <w:r w:rsidR="00366D3C">
        <w:rPr>
          <w:rFonts w:cstheme="minorHAnsi"/>
          <w:bCs/>
          <w:iCs/>
        </w:rPr>
        <w:t xml:space="preserve">non-IFRS </w:t>
      </w:r>
      <w:r w:rsidR="00D661D7" w:rsidRPr="00B76AE3">
        <w:rPr>
          <w:rFonts w:cstheme="minorHAnsi"/>
          <w:bCs/>
          <w:iCs/>
        </w:rPr>
        <w:t>software revenue increased 6% and represented 9% of total non-IFRS software revenue.</w:t>
      </w:r>
      <w:r w:rsidR="00E77F34" w:rsidRPr="00E77F34">
        <w:rPr>
          <w:rFonts w:asciiTheme="minorHAnsi" w:hAnsiTheme="minorHAnsi" w:cstheme="minorHAnsi"/>
        </w:rPr>
        <w:t xml:space="preserve"> </w:t>
      </w:r>
      <w:r w:rsidR="00E77F34">
        <w:rPr>
          <w:rFonts w:asciiTheme="minorHAnsi" w:hAnsiTheme="minorHAnsi" w:cstheme="minorHAnsi"/>
        </w:rPr>
        <w:t>(All growth rates at constant currencies.)</w:t>
      </w:r>
    </w:p>
    <w:p w14:paraId="0A5591E0" w14:textId="415C825E" w:rsidR="00366201" w:rsidRDefault="00D433FF" w:rsidP="00383AB6">
      <w:pPr>
        <w:jc w:val="both"/>
        <w:rPr>
          <w:rFonts w:cstheme="minorHAnsi"/>
        </w:rPr>
      </w:pPr>
      <w:r>
        <w:rPr>
          <w:rFonts w:asciiTheme="minorHAnsi" w:hAnsiTheme="minorHAnsi" w:cstheme="minorHAnsi"/>
        </w:rPr>
        <w:t>•</w:t>
      </w:r>
      <w:r w:rsidR="001150E3">
        <w:rPr>
          <w:rFonts w:asciiTheme="minorHAnsi" w:hAnsiTheme="minorHAnsi" w:cstheme="minorHAnsi"/>
        </w:rPr>
        <w:t xml:space="preserve"> </w:t>
      </w:r>
      <w:r w:rsidR="001150E3" w:rsidRPr="001150E3">
        <w:rPr>
          <w:rFonts w:asciiTheme="minorHAnsi" w:hAnsiTheme="minorHAnsi" w:cstheme="minorHAnsi"/>
        </w:rPr>
        <w:tab/>
      </w:r>
      <w:r w:rsidR="00550F8F">
        <w:rPr>
          <w:rFonts w:asciiTheme="minorHAnsi" w:hAnsiTheme="minorHAnsi" w:cstheme="minorHAnsi"/>
        </w:rPr>
        <w:t xml:space="preserve">For the 2020 First Half, </w:t>
      </w:r>
      <w:r w:rsidR="001150E3" w:rsidRPr="006E4DE9">
        <w:rPr>
          <w:rFonts w:asciiTheme="minorHAnsi" w:hAnsiTheme="minorHAnsi" w:cstheme="minorHAnsi"/>
          <w:b/>
        </w:rPr>
        <w:t>3D</w:t>
      </w:r>
      <w:r w:rsidR="001150E3" w:rsidRPr="001150E3">
        <w:rPr>
          <w:rFonts w:asciiTheme="minorHAnsi" w:hAnsiTheme="minorHAnsi" w:cstheme="minorHAnsi"/>
        </w:rPr>
        <w:t xml:space="preserve">EXPERIENCE non-IFRS software revenue represented </w:t>
      </w:r>
      <w:r w:rsidR="00EB637C">
        <w:rPr>
          <w:rFonts w:asciiTheme="minorHAnsi" w:hAnsiTheme="minorHAnsi" w:cstheme="minorHAnsi"/>
        </w:rPr>
        <w:t>23</w:t>
      </w:r>
      <w:r w:rsidR="001150E3" w:rsidRPr="001150E3">
        <w:rPr>
          <w:rFonts w:asciiTheme="minorHAnsi" w:hAnsiTheme="minorHAnsi" w:cstheme="minorHAnsi"/>
        </w:rPr>
        <w:t>%</w:t>
      </w:r>
      <w:r w:rsidR="00E97E50">
        <w:rPr>
          <w:rFonts w:asciiTheme="minorHAnsi" w:hAnsiTheme="minorHAnsi" w:cstheme="minorHAnsi"/>
        </w:rPr>
        <w:t xml:space="preserve"> (2</w:t>
      </w:r>
      <w:r w:rsidR="003E644E">
        <w:rPr>
          <w:rFonts w:asciiTheme="minorHAnsi" w:hAnsiTheme="minorHAnsi" w:cstheme="minorHAnsi"/>
        </w:rPr>
        <w:t>7</w:t>
      </w:r>
      <w:r w:rsidR="00E97E50">
        <w:rPr>
          <w:rFonts w:asciiTheme="minorHAnsi" w:hAnsiTheme="minorHAnsi" w:cstheme="minorHAnsi"/>
        </w:rPr>
        <w:t xml:space="preserve">% in H1 </w:t>
      </w:r>
      <w:r w:rsidR="00BF0DFD">
        <w:rPr>
          <w:rFonts w:asciiTheme="minorHAnsi" w:hAnsiTheme="minorHAnsi" w:cstheme="minorHAnsi"/>
        </w:rPr>
        <w:t>2019</w:t>
      </w:r>
      <w:r w:rsidR="00E97E50">
        <w:rPr>
          <w:rFonts w:asciiTheme="minorHAnsi" w:hAnsiTheme="minorHAnsi" w:cstheme="minorHAnsi"/>
        </w:rPr>
        <w:t>)</w:t>
      </w:r>
      <w:r w:rsidR="001150E3" w:rsidRPr="001150E3">
        <w:rPr>
          <w:rFonts w:asciiTheme="minorHAnsi" w:hAnsiTheme="minorHAnsi" w:cstheme="minorHAnsi"/>
        </w:rPr>
        <w:t xml:space="preserve"> of related </w:t>
      </w:r>
      <w:r w:rsidR="003E644E">
        <w:rPr>
          <w:rFonts w:asciiTheme="minorHAnsi" w:hAnsiTheme="minorHAnsi" w:cstheme="minorHAnsi"/>
        </w:rPr>
        <w:t xml:space="preserve">non-IFRS </w:t>
      </w:r>
      <w:r w:rsidR="001150E3" w:rsidRPr="001150E3">
        <w:rPr>
          <w:rFonts w:asciiTheme="minorHAnsi" w:hAnsiTheme="minorHAnsi" w:cstheme="minorHAnsi"/>
        </w:rPr>
        <w:t>software revenue</w:t>
      </w:r>
      <w:r w:rsidR="00550F8F">
        <w:rPr>
          <w:rFonts w:asciiTheme="minorHAnsi" w:hAnsiTheme="minorHAnsi" w:cstheme="minorHAnsi"/>
        </w:rPr>
        <w:t>,</w:t>
      </w:r>
      <w:r w:rsidR="00EB637C">
        <w:rPr>
          <w:rFonts w:asciiTheme="minorHAnsi" w:hAnsiTheme="minorHAnsi" w:cstheme="minorHAnsi"/>
        </w:rPr>
        <w:t xml:space="preserve"> </w:t>
      </w:r>
      <w:r w:rsidR="001150E3" w:rsidRPr="001150E3">
        <w:rPr>
          <w:rFonts w:asciiTheme="minorHAnsi" w:hAnsiTheme="minorHAnsi" w:cstheme="minorHAnsi"/>
        </w:rPr>
        <w:t>and inclu</w:t>
      </w:r>
      <w:r w:rsidR="00E97E50">
        <w:rPr>
          <w:rFonts w:asciiTheme="minorHAnsi" w:hAnsiTheme="minorHAnsi" w:cstheme="minorHAnsi"/>
        </w:rPr>
        <w:t>ded business from customers in</w:t>
      </w:r>
      <w:r w:rsidR="001150E3" w:rsidRPr="001150E3">
        <w:rPr>
          <w:rFonts w:asciiTheme="minorHAnsi" w:hAnsiTheme="minorHAnsi" w:cstheme="minorHAnsi"/>
        </w:rPr>
        <w:t xml:space="preserve"> Aerospace &amp; Defense, Transportation &amp; Mobility, Industrial Equipment</w:t>
      </w:r>
      <w:r w:rsidR="00997FFE">
        <w:rPr>
          <w:rFonts w:asciiTheme="minorHAnsi" w:hAnsiTheme="minorHAnsi" w:cstheme="minorHAnsi"/>
        </w:rPr>
        <w:t>, High Tech,</w:t>
      </w:r>
      <w:r w:rsidR="001150E3" w:rsidRPr="001150E3">
        <w:rPr>
          <w:rFonts w:asciiTheme="minorHAnsi" w:hAnsiTheme="minorHAnsi" w:cstheme="minorHAnsi"/>
        </w:rPr>
        <w:t xml:space="preserve"> and Marine &amp; Offshore, </w:t>
      </w:r>
      <w:r w:rsidR="00997FFE">
        <w:rPr>
          <w:rFonts w:asciiTheme="minorHAnsi" w:hAnsiTheme="minorHAnsi" w:cstheme="minorHAnsi"/>
        </w:rPr>
        <w:t xml:space="preserve">among others. </w:t>
      </w:r>
      <w:r w:rsidR="001150E3" w:rsidRPr="006E4DE9">
        <w:rPr>
          <w:rFonts w:asciiTheme="minorHAnsi" w:hAnsiTheme="minorHAnsi" w:cstheme="minorHAnsi"/>
          <w:b/>
        </w:rPr>
        <w:t>3D</w:t>
      </w:r>
      <w:r w:rsidR="001150E3" w:rsidRPr="001150E3">
        <w:rPr>
          <w:rFonts w:asciiTheme="minorHAnsi" w:hAnsiTheme="minorHAnsi" w:cstheme="minorHAnsi"/>
        </w:rPr>
        <w:t xml:space="preserve">EXPERIENCE </w:t>
      </w:r>
      <w:r w:rsidR="003E644E">
        <w:rPr>
          <w:rFonts w:asciiTheme="minorHAnsi" w:hAnsiTheme="minorHAnsi" w:cstheme="minorHAnsi"/>
        </w:rPr>
        <w:t xml:space="preserve">non-IFRS </w:t>
      </w:r>
      <w:r w:rsidR="001150E3" w:rsidRPr="001150E3">
        <w:rPr>
          <w:rFonts w:asciiTheme="minorHAnsi" w:hAnsiTheme="minorHAnsi" w:cstheme="minorHAnsi"/>
        </w:rPr>
        <w:t>software rev</w:t>
      </w:r>
      <w:r w:rsidR="00320FA7">
        <w:rPr>
          <w:rFonts w:asciiTheme="minorHAnsi" w:hAnsiTheme="minorHAnsi" w:cstheme="minorHAnsi"/>
        </w:rPr>
        <w:t xml:space="preserve">enue decreased 16% </w:t>
      </w:r>
      <w:r w:rsidR="00CF2E3D">
        <w:rPr>
          <w:rFonts w:asciiTheme="minorHAnsi" w:hAnsiTheme="minorHAnsi" w:cstheme="minorHAnsi"/>
        </w:rPr>
        <w:t xml:space="preserve">reflecting both </w:t>
      </w:r>
      <w:r w:rsidR="007A1753">
        <w:rPr>
          <w:rFonts w:asciiTheme="minorHAnsi" w:hAnsiTheme="minorHAnsi" w:cstheme="minorHAnsi"/>
        </w:rPr>
        <w:t>COVID</w:t>
      </w:r>
      <w:r w:rsidR="00CF2E3D">
        <w:rPr>
          <w:rFonts w:asciiTheme="minorHAnsi" w:hAnsiTheme="minorHAnsi" w:cstheme="minorHAnsi"/>
        </w:rPr>
        <w:t>-19 demand disruption in addition to a very high base of comparison (up 40% in H1</w:t>
      </w:r>
      <w:r w:rsidR="00BF0DFD">
        <w:rPr>
          <w:rFonts w:asciiTheme="minorHAnsi" w:hAnsiTheme="minorHAnsi" w:cstheme="minorHAnsi"/>
        </w:rPr>
        <w:t xml:space="preserve"> 20</w:t>
      </w:r>
      <w:r w:rsidR="00CF2E3D">
        <w:rPr>
          <w:rFonts w:asciiTheme="minorHAnsi" w:hAnsiTheme="minorHAnsi" w:cstheme="minorHAnsi"/>
        </w:rPr>
        <w:t>19)</w:t>
      </w:r>
      <w:r w:rsidR="001150E3" w:rsidRPr="001150E3">
        <w:rPr>
          <w:rFonts w:asciiTheme="minorHAnsi" w:hAnsiTheme="minorHAnsi" w:cstheme="minorHAnsi"/>
        </w:rPr>
        <w:t>.</w:t>
      </w:r>
      <w:r w:rsidR="00EB637C">
        <w:rPr>
          <w:rFonts w:asciiTheme="minorHAnsi" w:hAnsiTheme="minorHAnsi" w:cstheme="minorHAnsi"/>
        </w:rPr>
        <w:t xml:space="preserve"> (All growth rates in constant currencies.)</w:t>
      </w:r>
    </w:p>
    <w:p w14:paraId="71FC1CBA" w14:textId="77777777" w:rsidR="00383AB6" w:rsidRPr="00D621DE" w:rsidRDefault="00383AB6" w:rsidP="00383AB6">
      <w:pPr>
        <w:jc w:val="both"/>
        <w:rPr>
          <w:rFonts w:cstheme="minorHAnsi"/>
        </w:rPr>
      </w:pPr>
    </w:p>
    <w:p w14:paraId="0FC9F168" w14:textId="1502324F" w:rsidR="00366201" w:rsidRDefault="00366201" w:rsidP="00366201">
      <w:pPr>
        <w:spacing w:after="160" w:line="259" w:lineRule="auto"/>
        <w:jc w:val="both"/>
        <w:rPr>
          <w:rFonts w:cstheme="minorHAnsi"/>
        </w:rPr>
      </w:pPr>
      <w:r w:rsidRPr="00D621DE">
        <w:rPr>
          <w:rFonts w:cstheme="minorHAnsi"/>
        </w:rPr>
        <w:t>•</w:t>
      </w:r>
      <w:r w:rsidRPr="00D621DE">
        <w:rPr>
          <w:rFonts w:cstheme="minorHAnsi"/>
        </w:rPr>
        <w:tab/>
      </w:r>
      <w:r w:rsidR="00EF0CDF">
        <w:rPr>
          <w:rFonts w:cstheme="minorHAnsi"/>
        </w:rPr>
        <w:t xml:space="preserve">Services revenue increased 5% (IFRS and </w:t>
      </w:r>
      <w:r w:rsidR="001150E3">
        <w:rPr>
          <w:rFonts w:cstheme="minorHAnsi"/>
        </w:rPr>
        <w:t xml:space="preserve">non-IFRS), reflecting the addition of services from </w:t>
      </w:r>
      <w:proofErr w:type="spellStart"/>
      <w:r w:rsidR="001150E3">
        <w:rPr>
          <w:rFonts w:cstheme="minorHAnsi"/>
        </w:rPr>
        <w:t>Medidata</w:t>
      </w:r>
      <w:proofErr w:type="spellEnd"/>
      <w:r w:rsidR="001150E3">
        <w:rPr>
          <w:rFonts w:cstheme="minorHAnsi"/>
        </w:rPr>
        <w:t xml:space="preserve"> offset in part by a</w:t>
      </w:r>
      <w:r w:rsidR="00CE3127">
        <w:rPr>
          <w:rFonts w:cstheme="minorHAnsi"/>
        </w:rPr>
        <w:t xml:space="preserve"> </w:t>
      </w:r>
      <w:r w:rsidR="001150E3">
        <w:rPr>
          <w:rFonts w:cstheme="minorHAnsi"/>
        </w:rPr>
        <w:t>n</w:t>
      </w:r>
      <w:r w:rsidR="00CE3127">
        <w:rPr>
          <w:rFonts w:cstheme="minorHAnsi"/>
        </w:rPr>
        <w:t>on-IFRS</w:t>
      </w:r>
      <w:r w:rsidR="001150E3">
        <w:rPr>
          <w:rFonts w:cstheme="minorHAnsi"/>
        </w:rPr>
        <w:t xml:space="preserve"> organic decrease of 11%</w:t>
      </w:r>
      <w:r w:rsidR="00320FA7">
        <w:rPr>
          <w:rFonts w:cstheme="minorHAnsi"/>
        </w:rPr>
        <w:t xml:space="preserve"> impacted by </w:t>
      </w:r>
      <w:r w:rsidR="007A1753">
        <w:rPr>
          <w:rFonts w:asciiTheme="minorHAnsi" w:hAnsiTheme="minorHAnsi" w:cstheme="minorHAnsi"/>
        </w:rPr>
        <w:t>COVID</w:t>
      </w:r>
      <w:r w:rsidR="00320FA7">
        <w:rPr>
          <w:rFonts w:cstheme="minorHAnsi"/>
        </w:rPr>
        <w:t xml:space="preserve">-19 disruptions to new business and </w:t>
      </w:r>
      <w:r w:rsidR="00550F8F">
        <w:rPr>
          <w:rFonts w:cstheme="minorHAnsi"/>
        </w:rPr>
        <w:t xml:space="preserve">to </w:t>
      </w:r>
      <w:r w:rsidR="009612E2">
        <w:rPr>
          <w:rFonts w:cstheme="minorHAnsi"/>
        </w:rPr>
        <w:t xml:space="preserve">ongoing </w:t>
      </w:r>
      <w:r w:rsidR="004A483F">
        <w:rPr>
          <w:rFonts w:cstheme="minorHAnsi"/>
        </w:rPr>
        <w:t xml:space="preserve">service </w:t>
      </w:r>
      <w:r w:rsidR="00320FA7">
        <w:rPr>
          <w:rFonts w:cstheme="minorHAnsi"/>
        </w:rPr>
        <w:t>engagements</w:t>
      </w:r>
      <w:r w:rsidR="001150E3">
        <w:rPr>
          <w:rFonts w:cstheme="minorHAnsi"/>
        </w:rPr>
        <w:t>. (All growth rates in constant currencies.)</w:t>
      </w:r>
    </w:p>
    <w:p w14:paraId="513ECAA4" w14:textId="77777777" w:rsidR="00366201" w:rsidRPr="00E26714" w:rsidRDefault="00366201" w:rsidP="00366201">
      <w:pPr>
        <w:jc w:val="both"/>
        <w:rPr>
          <w:rFonts w:asciiTheme="minorHAnsi" w:hAnsiTheme="minorHAnsi" w:cstheme="minorHAnsi"/>
        </w:rPr>
      </w:pPr>
      <w:r w:rsidRPr="00E26714">
        <w:rPr>
          <w:rFonts w:asciiTheme="minorHAnsi" w:hAnsiTheme="minorHAnsi" w:cstheme="minorHAnsi"/>
        </w:rPr>
        <w:tab/>
      </w:r>
    </w:p>
    <w:p w14:paraId="70F0E7B1" w14:textId="5BCB9478" w:rsidR="00366201" w:rsidRPr="00E26714" w:rsidRDefault="00B9469B" w:rsidP="00366201">
      <w:pPr>
        <w:jc w:val="both"/>
        <w:rPr>
          <w:rFonts w:asciiTheme="minorHAnsi" w:hAnsiTheme="minorHAnsi" w:cstheme="minorHAnsi"/>
          <w:b/>
        </w:rPr>
      </w:pPr>
      <w:r>
        <w:rPr>
          <w:rFonts w:asciiTheme="minorHAnsi" w:hAnsiTheme="minorHAnsi" w:cstheme="minorHAnsi"/>
          <w:b/>
        </w:rPr>
        <w:t xml:space="preserve">H1 </w:t>
      </w:r>
      <w:r w:rsidR="00366201" w:rsidRPr="00E26714">
        <w:rPr>
          <w:rFonts w:asciiTheme="minorHAnsi" w:hAnsiTheme="minorHAnsi" w:cstheme="minorHAnsi"/>
          <w:b/>
        </w:rPr>
        <w:t>Operating Review</w:t>
      </w:r>
      <w:r w:rsidR="00366201" w:rsidRPr="00314798">
        <w:rPr>
          <w:rFonts w:cstheme="minorHAnsi"/>
        </w:rPr>
        <w:t xml:space="preserve"> </w:t>
      </w:r>
    </w:p>
    <w:p w14:paraId="64F563A4" w14:textId="77777777" w:rsidR="00366201" w:rsidRPr="00E26714" w:rsidRDefault="00366201" w:rsidP="00366201">
      <w:pPr>
        <w:jc w:val="both"/>
        <w:rPr>
          <w:rFonts w:asciiTheme="minorHAnsi" w:hAnsiTheme="minorHAnsi" w:cstheme="minorHAnsi"/>
        </w:rPr>
      </w:pPr>
    </w:p>
    <w:p w14:paraId="34FC6B9C" w14:textId="1050B23B" w:rsidR="00366201" w:rsidRPr="00E26714" w:rsidRDefault="00366201" w:rsidP="00366201">
      <w:pPr>
        <w:jc w:val="both"/>
        <w:rPr>
          <w:rFonts w:asciiTheme="minorHAnsi" w:hAnsiTheme="minorHAnsi" w:cstheme="minorHAnsi"/>
        </w:rPr>
      </w:pPr>
      <w:r w:rsidRPr="00E26714">
        <w:rPr>
          <w:rFonts w:asciiTheme="minorHAnsi" w:hAnsiTheme="minorHAnsi" w:cstheme="minorHAnsi"/>
        </w:rPr>
        <w:t>•</w:t>
      </w:r>
      <w:r w:rsidRPr="00E26714">
        <w:rPr>
          <w:rFonts w:asciiTheme="minorHAnsi" w:hAnsiTheme="minorHAnsi" w:cstheme="minorHAnsi"/>
        </w:rPr>
        <w:tab/>
      </w:r>
      <w:r>
        <w:rPr>
          <w:rFonts w:asciiTheme="minorHAnsi" w:hAnsiTheme="minorHAnsi" w:cstheme="minorHAnsi"/>
        </w:rPr>
        <w:t>O</w:t>
      </w:r>
      <w:r w:rsidRPr="00314798">
        <w:rPr>
          <w:rFonts w:asciiTheme="minorHAnsi" w:hAnsiTheme="minorHAnsi" w:cstheme="minorHAnsi"/>
        </w:rPr>
        <w:t xml:space="preserve">perating income decreased </w:t>
      </w:r>
      <w:r w:rsidR="00A37E82">
        <w:rPr>
          <w:rFonts w:asciiTheme="minorHAnsi" w:hAnsiTheme="minorHAnsi" w:cstheme="minorHAnsi"/>
        </w:rPr>
        <w:t>34</w:t>
      </w:r>
      <w:r>
        <w:rPr>
          <w:rFonts w:asciiTheme="minorHAnsi" w:hAnsiTheme="minorHAnsi" w:cstheme="minorHAnsi"/>
        </w:rPr>
        <w:t xml:space="preserve">% on an IFRS basis, reflecting the impact of acquired amortization intangibles arising from the </w:t>
      </w:r>
      <w:proofErr w:type="spellStart"/>
      <w:r>
        <w:rPr>
          <w:rFonts w:asciiTheme="minorHAnsi" w:hAnsiTheme="minorHAnsi" w:cstheme="minorHAnsi"/>
        </w:rPr>
        <w:t>Medidata</w:t>
      </w:r>
      <w:proofErr w:type="spellEnd"/>
      <w:r>
        <w:rPr>
          <w:rFonts w:asciiTheme="minorHAnsi" w:hAnsiTheme="minorHAnsi" w:cstheme="minorHAnsi"/>
        </w:rPr>
        <w:t xml:space="preserve"> acquisition</w:t>
      </w:r>
      <w:r w:rsidR="00A37E82">
        <w:rPr>
          <w:rFonts w:asciiTheme="minorHAnsi" w:hAnsiTheme="minorHAnsi" w:cstheme="minorHAnsi"/>
        </w:rPr>
        <w:t>, while increasing 1% to €620.4</w:t>
      </w:r>
      <w:r>
        <w:rPr>
          <w:rFonts w:asciiTheme="minorHAnsi" w:hAnsiTheme="minorHAnsi" w:cstheme="minorHAnsi"/>
        </w:rPr>
        <w:t xml:space="preserve"> million on a n</w:t>
      </w:r>
      <w:r w:rsidRPr="00E26714">
        <w:rPr>
          <w:rFonts w:asciiTheme="minorHAnsi" w:hAnsiTheme="minorHAnsi" w:cstheme="minorHAnsi"/>
        </w:rPr>
        <w:t>on-IFRS</w:t>
      </w:r>
      <w:r>
        <w:rPr>
          <w:rFonts w:asciiTheme="minorHAnsi" w:hAnsiTheme="minorHAnsi" w:cstheme="minorHAnsi"/>
        </w:rPr>
        <w:t xml:space="preserve"> basis. </w:t>
      </w:r>
      <w:r w:rsidR="009379EE" w:rsidRPr="009379EE">
        <w:rPr>
          <w:rFonts w:asciiTheme="minorHAnsi" w:hAnsiTheme="minorHAnsi" w:cstheme="minorHAnsi"/>
        </w:rPr>
        <w:t>The non-IFRS operating margin</w:t>
      </w:r>
      <w:r w:rsidR="0046233B">
        <w:rPr>
          <w:rFonts w:asciiTheme="minorHAnsi" w:hAnsiTheme="minorHAnsi" w:cstheme="minorHAnsi"/>
        </w:rPr>
        <w:t xml:space="preserve"> was 28.0% compared to 31.8% </w:t>
      </w:r>
      <w:r w:rsidR="009379EE" w:rsidRPr="009379EE">
        <w:rPr>
          <w:rFonts w:asciiTheme="minorHAnsi" w:hAnsiTheme="minorHAnsi" w:cstheme="minorHAnsi"/>
        </w:rPr>
        <w:t>in t</w:t>
      </w:r>
      <w:r w:rsidR="00A37E82">
        <w:rPr>
          <w:rFonts w:asciiTheme="minorHAnsi" w:hAnsiTheme="minorHAnsi" w:cstheme="minorHAnsi"/>
        </w:rPr>
        <w:t>he year-ago First H</w:t>
      </w:r>
      <w:r w:rsidR="0046233B">
        <w:rPr>
          <w:rFonts w:asciiTheme="minorHAnsi" w:hAnsiTheme="minorHAnsi" w:cstheme="minorHAnsi"/>
        </w:rPr>
        <w:t>alf</w:t>
      </w:r>
      <w:r w:rsidR="009379EE" w:rsidRPr="009379EE">
        <w:rPr>
          <w:rFonts w:asciiTheme="minorHAnsi" w:hAnsiTheme="minorHAnsi" w:cstheme="minorHAnsi"/>
        </w:rPr>
        <w:t xml:space="preserve">, </w:t>
      </w:r>
      <w:r w:rsidR="00324898">
        <w:rPr>
          <w:rFonts w:asciiTheme="minorHAnsi" w:hAnsiTheme="minorHAnsi" w:cstheme="minorHAnsi"/>
        </w:rPr>
        <w:t xml:space="preserve">and </w:t>
      </w:r>
      <w:r w:rsidR="00A37E82">
        <w:rPr>
          <w:rFonts w:asciiTheme="minorHAnsi" w:hAnsiTheme="minorHAnsi" w:cstheme="minorHAnsi"/>
        </w:rPr>
        <w:t>principally reflected</w:t>
      </w:r>
      <w:r w:rsidR="00F1320D">
        <w:rPr>
          <w:rFonts w:asciiTheme="minorHAnsi" w:hAnsiTheme="minorHAnsi" w:cstheme="minorHAnsi"/>
        </w:rPr>
        <w:t xml:space="preserve"> a</w:t>
      </w:r>
      <w:r w:rsidR="00A37E82">
        <w:rPr>
          <w:rFonts w:asciiTheme="minorHAnsi" w:hAnsiTheme="minorHAnsi" w:cstheme="minorHAnsi"/>
        </w:rPr>
        <w:t>cquisition dilution of about 170</w:t>
      </w:r>
      <w:r w:rsidR="00F1320D">
        <w:rPr>
          <w:rFonts w:asciiTheme="minorHAnsi" w:hAnsiTheme="minorHAnsi" w:cstheme="minorHAnsi"/>
        </w:rPr>
        <w:t xml:space="preserve"> basis points </w:t>
      </w:r>
      <w:r w:rsidR="00A37E82">
        <w:rPr>
          <w:rFonts w:asciiTheme="minorHAnsi" w:hAnsiTheme="minorHAnsi" w:cstheme="minorHAnsi"/>
        </w:rPr>
        <w:t xml:space="preserve">and an estimated 230 basis points impact of the </w:t>
      </w:r>
      <w:r w:rsidR="007A1753">
        <w:rPr>
          <w:rFonts w:asciiTheme="minorHAnsi" w:hAnsiTheme="minorHAnsi" w:cstheme="minorHAnsi"/>
        </w:rPr>
        <w:t>COVID</w:t>
      </w:r>
      <w:r w:rsidR="004A483F">
        <w:rPr>
          <w:rFonts w:asciiTheme="minorHAnsi" w:hAnsiTheme="minorHAnsi" w:cstheme="minorHAnsi"/>
        </w:rPr>
        <w:t xml:space="preserve">-19 </w:t>
      </w:r>
      <w:r w:rsidR="00A37E82">
        <w:rPr>
          <w:rFonts w:asciiTheme="minorHAnsi" w:hAnsiTheme="minorHAnsi" w:cstheme="minorHAnsi"/>
        </w:rPr>
        <w:t xml:space="preserve">pandemic lowering </w:t>
      </w:r>
      <w:r w:rsidR="004C18F6">
        <w:rPr>
          <w:rFonts w:asciiTheme="minorHAnsi" w:hAnsiTheme="minorHAnsi" w:cstheme="minorHAnsi"/>
        </w:rPr>
        <w:t xml:space="preserve">non-IFRS </w:t>
      </w:r>
      <w:r w:rsidR="00A37E82">
        <w:rPr>
          <w:rFonts w:asciiTheme="minorHAnsi" w:hAnsiTheme="minorHAnsi" w:cstheme="minorHAnsi"/>
        </w:rPr>
        <w:t>new licenses and</w:t>
      </w:r>
      <w:r w:rsidR="004C18F6">
        <w:rPr>
          <w:rFonts w:asciiTheme="minorHAnsi" w:hAnsiTheme="minorHAnsi" w:cstheme="minorHAnsi"/>
        </w:rPr>
        <w:t xml:space="preserve"> non-IFRS </w:t>
      </w:r>
      <w:r w:rsidR="00A37E82">
        <w:rPr>
          <w:rFonts w:asciiTheme="minorHAnsi" w:hAnsiTheme="minorHAnsi" w:cstheme="minorHAnsi"/>
        </w:rPr>
        <w:t>services activities.</w:t>
      </w:r>
      <w:r w:rsidR="00F26766" w:rsidRPr="00F26766">
        <w:rPr>
          <w:rFonts w:asciiTheme="minorHAnsi" w:hAnsiTheme="minorHAnsi" w:cstheme="minorHAnsi"/>
        </w:rPr>
        <w:t xml:space="preserve"> </w:t>
      </w:r>
    </w:p>
    <w:p w14:paraId="52B92220" w14:textId="77777777" w:rsidR="00366201" w:rsidRPr="00E26714" w:rsidRDefault="00366201" w:rsidP="00366201">
      <w:pPr>
        <w:jc w:val="both"/>
        <w:rPr>
          <w:rFonts w:asciiTheme="minorHAnsi" w:hAnsiTheme="minorHAnsi" w:cstheme="minorHAnsi"/>
        </w:rPr>
      </w:pPr>
    </w:p>
    <w:p w14:paraId="235F1964" w14:textId="02D23763" w:rsidR="00366201" w:rsidRPr="003C12D8" w:rsidRDefault="00366201" w:rsidP="00366201">
      <w:pPr>
        <w:jc w:val="both"/>
        <w:rPr>
          <w:rFonts w:asciiTheme="minorHAnsi" w:hAnsiTheme="minorHAnsi" w:cstheme="minorHAnsi"/>
        </w:rPr>
      </w:pPr>
      <w:r w:rsidRPr="00E26714">
        <w:rPr>
          <w:rFonts w:asciiTheme="minorHAnsi" w:hAnsiTheme="minorHAnsi" w:cstheme="minorHAnsi"/>
        </w:rPr>
        <w:t>•</w:t>
      </w:r>
      <w:r w:rsidRPr="00E26714">
        <w:rPr>
          <w:rFonts w:asciiTheme="minorHAnsi" w:hAnsiTheme="minorHAnsi" w:cstheme="minorHAnsi"/>
        </w:rPr>
        <w:tab/>
      </w:r>
      <w:r w:rsidR="00965E9B">
        <w:t>T</w:t>
      </w:r>
      <w:r w:rsidR="00C4282E">
        <w:t xml:space="preserve">he </w:t>
      </w:r>
      <w:r w:rsidR="00497874">
        <w:t>IFRS effective tax rate was 23.9</w:t>
      </w:r>
      <w:r w:rsidR="00C4282E">
        <w:t xml:space="preserve">% (non-IFRS 24.7%) for the 2020 First Half, compared to </w:t>
      </w:r>
      <w:r w:rsidR="002C5816">
        <w:t>28.3% (non-IFRS 28.9%)</w:t>
      </w:r>
      <w:r w:rsidR="00C4282E">
        <w:t xml:space="preserve"> </w:t>
      </w:r>
      <w:r w:rsidR="002C5816">
        <w:t xml:space="preserve">in the year-ago period. The principal drivers of the decrease in the effective tax rate include the positive impact of the US tax regime on revenues from patents and </w:t>
      </w:r>
      <w:r w:rsidR="002C5816" w:rsidRPr="009A40E3">
        <w:t>technology</w:t>
      </w:r>
      <w:r w:rsidR="002C5816">
        <w:t xml:space="preserve"> and the </w:t>
      </w:r>
      <w:r w:rsidR="00347D00">
        <w:t xml:space="preserve">last </w:t>
      </w:r>
      <w:r w:rsidR="002C5816">
        <w:t>of the US BEAT consequences. These changes were fully recognized both in Q4 2019 for the full year and in the 2020 First H</w:t>
      </w:r>
      <w:r w:rsidR="000E2CCB">
        <w:t>alf. In addition, the</w:t>
      </w:r>
      <w:r w:rsidR="002C5816">
        <w:t xml:space="preserve"> effective tax rate</w:t>
      </w:r>
      <w:r w:rsidR="000E2CCB">
        <w:t xml:space="preserve"> for the 2020 First Half</w:t>
      </w:r>
      <w:r w:rsidR="002C5816">
        <w:t xml:space="preserve"> also reflects a favorable evolution in the geographic mix of taxable income. </w:t>
      </w:r>
    </w:p>
    <w:p w14:paraId="125DDD29" w14:textId="77777777" w:rsidR="00366201" w:rsidRPr="003C12D8" w:rsidRDefault="00366201" w:rsidP="00366201">
      <w:pPr>
        <w:jc w:val="both"/>
        <w:rPr>
          <w:rFonts w:asciiTheme="minorHAnsi" w:hAnsiTheme="minorHAnsi" w:cstheme="minorHAnsi"/>
        </w:rPr>
      </w:pPr>
      <w:r w:rsidRPr="00E26714">
        <w:rPr>
          <w:rFonts w:asciiTheme="minorHAnsi" w:hAnsiTheme="minorHAnsi" w:cstheme="minorHAnsi"/>
        </w:rPr>
        <w:t xml:space="preserve"> </w:t>
      </w:r>
    </w:p>
    <w:p w14:paraId="623F5A82" w14:textId="124EA9FB" w:rsidR="0036477B" w:rsidRDefault="00366201" w:rsidP="0036477B">
      <w:pPr>
        <w:spacing w:after="240"/>
        <w:jc w:val="both"/>
        <w:rPr>
          <w:rFonts w:asciiTheme="minorHAnsi" w:hAnsiTheme="minorHAnsi" w:cstheme="minorHAnsi"/>
        </w:rPr>
      </w:pPr>
      <w:r w:rsidRPr="003C12D8">
        <w:rPr>
          <w:rFonts w:asciiTheme="minorHAnsi" w:hAnsiTheme="minorHAnsi" w:cstheme="minorHAnsi"/>
        </w:rPr>
        <w:t>•</w:t>
      </w:r>
      <w:r w:rsidRPr="003C12D8">
        <w:rPr>
          <w:rFonts w:asciiTheme="minorHAnsi" w:hAnsiTheme="minorHAnsi" w:cstheme="minorHAnsi"/>
        </w:rPr>
        <w:tab/>
        <w:t>IFRS diluted net income per share</w:t>
      </w:r>
      <w:r w:rsidR="00BA046C">
        <w:rPr>
          <w:rFonts w:asciiTheme="minorHAnsi" w:hAnsiTheme="minorHAnsi" w:cstheme="minorHAnsi"/>
        </w:rPr>
        <w:t xml:space="preserve"> was €0.74 compared to €1.13 in the year-ago period.</w:t>
      </w:r>
      <w:r w:rsidR="00862958">
        <w:rPr>
          <w:rFonts w:asciiTheme="minorHAnsi" w:hAnsiTheme="minorHAnsi" w:cstheme="minorHAnsi"/>
        </w:rPr>
        <w:t xml:space="preserve"> On a non-IFRS basis, diluted net income per share increased</w:t>
      </w:r>
      <w:r>
        <w:rPr>
          <w:rFonts w:asciiTheme="minorHAnsi" w:hAnsiTheme="minorHAnsi" w:cstheme="minorHAnsi"/>
        </w:rPr>
        <w:t xml:space="preserve"> </w:t>
      </w:r>
      <w:r w:rsidR="00862958">
        <w:rPr>
          <w:rFonts w:asciiTheme="minorHAnsi" w:hAnsiTheme="minorHAnsi" w:cstheme="minorHAnsi"/>
        </w:rPr>
        <w:t xml:space="preserve">4% to €1.76, with a net positive currency impact of about </w:t>
      </w:r>
      <w:r w:rsidR="00BE45FE">
        <w:rPr>
          <w:rFonts w:asciiTheme="minorHAnsi" w:hAnsiTheme="minorHAnsi" w:cstheme="minorHAnsi"/>
        </w:rPr>
        <w:t xml:space="preserve">three </w:t>
      </w:r>
      <w:r w:rsidR="00862958">
        <w:rPr>
          <w:rFonts w:asciiTheme="minorHAnsi" w:hAnsiTheme="minorHAnsi" w:cstheme="minorHAnsi"/>
        </w:rPr>
        <w:t>cents</w:t>
      </w:r>
      <w:r w:rsidRPr="003C12D8">
        <w:rPr>
          <w:rFonts w:asciiTheme="minorHAnsi" w:hAnsiTheme="minorHAnsi" w:cstheme="minorHAnsi"/>
        </w:rPr>
        <w:t xml:space="preserve">. </w:t>
      </w:r>
    </w:p>
    <w:p w14:paraId="6EDBC4A4" w14:textId="77777777" w:rsidR="0036477B" w:rsidRDefault="0036477B" w:rsidP="0036477B">
      <w:pPr>
        <w:jc w:val="both"/>
        <w:rPr>
          <w:rFonts w:asciiTheme="minorHAnsi" w:hAnsiTheme="minorHAnsi" w:cstheme="minorHAnsi"/>
          <w:b/>
        </w:rPr>
      </w:pPr>
    </w:p>
    <w:p w14:paraId="43F25AF4" w14:textId="086693C3" w:rsidR="00DF4742" w:rsidRDefault="00E85B01" w:rsidP="00DF4742">
      <w:pPr>
        <w:jc w:val="both"/>
        <w:rPr>
          <w:rFonts w:asciiTheme="minorHAnsi" w:hAnsiTheme="minorHAnsi" w:cstheme="minorHAnsi"/>
          <w:b/>
        </w:rPr>
      </w:pPr>
      <w:r w:rsidRPr="003C12D8">
        <w:rPr>
          <w:rFonts w:asciiTheme="minorHAnsi" w:hAnsiTheme="minorHAnsi" w:cstheme="minorHAnsi"/>
          <w:b/>
        </w:rPr>
        <w:t xml:space="preserve">COO &amp; </w:t>
      </w:r>
      <w:r w:rsidR="00DF4742" w:rsidRPr="003C12D8">
        <w:rPr>
          <w:rFonts w:asciiTheme="minorHAnsi" w:hAnsiTheme="minorHAnsi" w:cstheme="minorHAnsi"/>
          <w:b/>
        </w:rPr>
        <w:t xml:space="preserve">CFO Commentary </w:t>
      </w:r>
    </w:p>
    <w:p w14:paraId="43981C8E" w14:textId="77777777" w:rsidR="00DF4742" w:rsidRPr="003C12D8" w:rsidRDefault="00DF4742" w:rsidP="00DF4742">
      <w:pPr>
        <w:jc w:val="both"/>
        <w:rPr>
          <w:rFonts w:asciiTheme="minorHAnsi" w:hAnsiTheme="minorHAnsi" w:cstheme="minorHAnsi"/>
        </w:rPr>
      </w:pPr>
    </w:p>
    <w:p w14:paraId="5FF2AB1A" w14:textId="08D42AD6" w:rsidR="00F85D76" w:rsidRDefault="007747DA" w:rsidP="00775900">
      <w:pPr>
        <w:jc w:val="both"/>
        <w:rPr>
          <w:i/>
          <w:iCs/>
        </w:rPr>
      </w:pPr>
      <w:r w:rsidRPr="009F4FAE">
        <w:rPr>
          <w:b/>
          <w:i/>
          <w:iCs/>
        </w:rPr>
        <w:t xml:space="preserve">Pascal </w:t>
      </w:r>
      <w:proofErr w:type="spellStart"/>
      <w:r w:rsidRPr="009F4FAE">
        <w:rPr>
          <w:b/>
          <w:i/>
          <w:iCs/>
        </w:rPr>
        <w:t>Daloz</w:t>
      </w:r>
      <w:proofErr w:type="spellEnd"/>
      <w:r w:rsidRPr="009F4FAE">
        <w:rPr>
          <w:b/>
          <w:i/>
          <w:iCs/>
        </w:rPr>
        <w:t xml:space="preserve">, Dassault Systèmes’ </w:t>
      </w:r>
      <w:r w:rsidR="00183C03">
        <w:rPr>
          <w:b/>
          <w:i/>
          <w:iCs/>
        </w:rPr>
        <w:t>Chief Operating Officer</w:t>
      </w:r>
      <w:r w:rsidRPr="009F4FAE">
        <w:rPr>
          <w:b/>
          <w:i/>
          <w:iCs/>
        </w:rPr>
        <w:t>&amp; C</w:t>
      </w:r>
      <w:r w:rsidR="009F4FAE" w:rsidRPr="009F4FAE">
        <w:rPr>
          <w:b/>
          <w:i/>
          <w:iCs/>
        </w:rPr>
        <w:t xml:space="preserve">hief </w:t>
      </w:r>
      <w:r w:rsidRPr="009F4FAE">
        <w:rPr>
          <w:b/>
          <w:i/>
          <w:iCs/>
        </w:rPr>
        <w:t>F</w:t>
      </w:r>
      <w:r w:rsidR="009F4FAE" w:rsidRPr="009F4FAE">
        <w:rPr>
          <w:b/>
          <w:i/>
          <w:iCs/>
        </w:rPr>
        <w:t xml:space="preserve">inancial </w:t>
      </w:r>
      <w:r w:rsidRPr="009F4FAE">
        <w:rPr>
          <w:b/>
          <w:i/>
          <w:iCs/>
        </w:rPr>
        <w:t>O</w:t>
      </w:r>
      <w:r w:rsidR="009F4FAE" w:rsidRPr="009F4FAE">
        <w:rPr>
          <w:b/>
          <w:i/>
          <w:iCs/>
        </w:rPr>
        <w:t>fficer</w:t>
      </w:r>
      <w:r w:rsidRPr="009F4FAE">
        <w:rPr>
          <w:b/>
          <w:i/>
          <w:iCs/>
        </w:rPr>
        <w:t>, commented</w:t>
      </w:r>
      <w:r w:rsidRPr="003C12D8">
        <w:rPr>
          <w:i/>
          <w:iCs/>
        </w:rPr>
        <w:t xml:space="preserve">: </w:t>
      </w:r>
      <w:r w:rsidR="003A2805">
        <w:rPr>
          <w:i/>
          <w:iCs/>
        </w:rPr>
        <w:t xml:space="preserve"> </w:t>
      </w:r>
    </w:p>
    <w:p w14:paraId="4861DF9B" w14:textId="2C422919" w:rsidR="00E351A9" w:rsidRDefault="00775900" w:rsidP="001C53FB">
      <w:pPr>
        <w:jc w:val="both"/>
        <w:rPr>
          <w:i/>
          <w:iCs/>
        </w:rPr>
      </w:pPr>
      <w:r w:rsidRPr="003C12D8">
        <w:rPr>
          <w:i/>
          <w:iCs/>
        </w:rPr>
        <w:t>“</w:t>
      </w:r>
      <w:r w:rsidR="00F85D76">
        <w:rPr>
          <w:i/>
          <w:iCs/>
        </w:rPr>
        <w:t>Last quarter we laid out a financial framework for navigating through 2020 in a pre-</w:t>
      </w:r>
      <w:r w:rsidR="00B352DE">
        <w:rPr>
          <w:i/>
          <w:iCs/>
        </w:rPr>
        <w:t xml:space="preserve">vaccine </w:t>
      </w:r>
      <w:r w:rsidR="004658D9">
        <w:rPr>
          <w:i/>
          <w:iCs/>
        </w:rPr>
        <w:t>COVID-</w:t>
      </w:r>
      <w:r w:rsidR="00B352DE">
        <w:rPr>
          <w:i/>
          <w:iCs/>
        </w:rPr>
        <w:t>19 world and are seeing that this fram</w:t>
      </w:r>
      <w:r w:rsidR="009F491D">
        <w:rPr>
          <w:i/>
          <w:iCs/>
        </w:rPr>
        <w:t xml:space="preserve">ework is </w:t>
      </w:r>
      <w:r w:rsidR="001C4FCB">
        <w:rPr>
          <w:i/>
          <w:iCs/>
        </w:rPr>
        <w:t>consistent</w:t>
      </w:r>
      <w:r w:rsidR="00F17579">
        <w:rPr>
          <w:i/>
          <w:iCs/>
        </w:rPr>
        <w:t xml:space="preserve"> with our results for this quarter and with our outlook for the full year</w:t>
      </w:r>
      <w:r w:rsidR="009F491D">
        <w:rPr>
          <w:i/>
          <w:iCs/>
        </w:rPr>
        <w:t xml:space="preserve">. </w:t>
      </w:r>
    </w:p>
    <w:p w14:paraId="44A8DB74" w14:textId="77777777" w:rsidR="00353AE8" w:rsidRDefault="00353AE8" w:rsidP="00353AE8">
      <w:pPr>
        <w:jc w:val="both"/>
        <w:rPr>
          <w:i/>
          <w:iCs/>
        </w:rPr>
      </w:pPr>
    </w:p>
    <w:p w14:paraId="04B0E547" w14:textId="1009140E" w:rsidR="00EF2394" w:rsidRDefault="00C63C1F" w:rsidP="00353AE8">
      <w:pPr>
        <w:jc w:val="both"/>
        <w:rPr>
          <w:i/>
          <w:iCs/>
        </w:rPr>
      </w:pPr>
      <w:r>
        <w:rPr>
          <w:i/>
          <w:iCs/>
        </w:rPr>
        <w:t>“</w:t>
      </w:r>
      <w:r w:rsidR="009F491D" w:rsidRPr="00353AE8">
        <w:rPr>
          <w:i/>
          <w:iCs/>
        </w:rPr>
        <w:t>W</w:t>
      </w:r>
      <w:r w:rsidR="00F15B77" w:rsidRPr="00353AE8">
        <w:rPr>
          <w:i/>
          <w:iCs/>
        </w:rPr>
        <w:t>e delivered second quarter financial results</w:t>
      </w:r>
      <w:r w:rsidR="00B352DE" w:rsidRPr="00353AE8">
        <w:rPr>
          <w:i/>
          <w:iCs/>
        </w:rPr>
        <w:t xml:space="preserve"> well in line, with key non-IFRS figures – software and recurring software revenue growth, operating margin</w:t>
      </w:r>
      <w:r w:rsidR="004A620E">
        <w:rPr>
          <w:i/>
          <w:iCs/>
        </w:rPr>
        <w:t xml:space="preserve"> </w:t>
      </w:r>
      <w:r w:rsidR="00B352DE" w:rsidRPr="00353AE8">
        <w:rPr>
          <w:i/>
          <w:iCs/>
        </w:rPr>
        <w:t>and earnings per share</w:t>
      </w:r>
      <w:r w:rsidR="004A620E">
        <w:rPr>
          <w:i/>
          <w:iCs/>
        </w:rPr>
        <w:t xml:space="preserve"> </w:t>
      </w:r>
      <w:r w:rsidR="004A620E" w:rsidRPr="00353AE8">
        <w:rPr>
          <w:i/>
          <w:iCs/>
        </w:rPr>
        <w:t>–</w:t>
      </w:r>
      <w:r w:rsidR="004A620E">
        <w:rPr>
          <w:i/>
          <w:iCs/>
        </w:rPr>
        <w:t xml:space="preserve"> </w:t>
      </w:r>
      <w:r w:rsidR="00F15B77" w:rsidRPr="00353AE8">
        <w:rPr>
          <w:i/>
          <w:iCs/>
        </w:rPr>
        <w:t>at the high end of</w:t>
      </w:r>
      <w:r w:rsidR="00E351A9" w:rsidRPr="00353AE8">
        <w:rPr>
          <w:i/>
          <w:iCs/>
        </w:rPr>
        <w:t xml:space="preserve"> or slightly above</w:t>
      </w:r>
      <w:r w:rsidR="00F15B77" w:rsidRPr="00353AE8">
        <w:rPr>
          <w:i/>
          <w:iCs/>
        </w:rPr>
        <w:t xml:space="preserve"> our objectives</w:t>
      </w:r>
      <w:r w:rsidR="001C4FCB" w:rsidRPr="00353AE8">
        <w:rPr>
          <w:i/>
          <w:iCs/>
        </w:rPr>
        <w:t xml:space="preserve">. </w:t>
      </w:r>
      <w:r w:rsidR="007A45CD" w:rsidRPr="007A45CD">
        <w:rPr>
          <w:i/>
          <w:iCs/>
        </w:rPr>
        <w:t>Our results underscore the resiliency of our financial model, with a high base of recurring software revenue</w:t>
      </w:r>
      <w:r w:rsidR="007A45CD">
        <w:rPr>
          <w:i/>
          <w:iCs/>
        </w:rPr>
        <w:t xml:space="preserve"> (82% of total IFRS and non-IFRS software revenue in Q2) and</w:t>
      </w:r>
      <w:r w:rsidR="007A45CD" w:rsidRPr="007A45CD">
        <w:rPr>
          <w:i/>
          <w:iCs/>
        </w:rPr>
        <w:t xml:space="preserve"> strong operating profitability</w:t>
      </w:r>
      <w:r w:rsidR="0068508A" w:rsidRPr="00B019D2">
        <w:rPr>
          <w:i/>
          <w:iCs/>
        </w:rPr>
        <w:t xml:space="preserve">, </w:t>
      </w:r>
      <w:r w:rsidR="0068508A" w:rsidRPr="00B019D2">
        <w:rPr>
          <w:i/>
        </w:rPr>
        <w:t xml:space="preserve">while growing R&amp;D resources in total and on </w:t>
      </w:r>
      <w:r w:rsidR="001E2731">
        <w:rPr>
          <w:i/>
        </w:rPr>
        <w:t xml:space="preserve">an </w:t>
      </w:r>
      <w:r w:rsidR="0068508A" w:rsidRPr="00B019D2">
        <w:rPr>
          <w:i/>
        </w:rPr>
        <w:t>organic basis</w:t>
      </w:r>
      <w:r w:rsidR="007A45CD" w:rsidRPr="00B019D2">
        <w:rPr>
          <w:i/>
          <w:iCs/>
        </w:rPr>
        <w:t>.</w:t>
      </w:r>
      <w:r w:rsidR="007A45CD" w:rsidRPr="007A45CD">
        <w:rPr>
          <w:i/>
          <w:iCs/>
        </w:rPr>
        <w:t xml:space="preserve"> </w:t>
      </w:r>
      <w:r w:rsidR="001C4FCB" w:rsidRPr="00353AE8">
        <w:rPr>
          <w:i/>
          <w:iCs/>
        </w:rPr>
        <w:t xml:space="preserve"> </w:t>
      </w:r>
      <w:r w:rsidR="002A4154">
        <w:rPr>
          <w:i/>
          <w:iCs/>
        </w:rPr>
        <w:t>While software revenue grew at the high end of our target range, s</w:t>
      </w:r>
      <w:r w:rsidR="00CB51F7" w:rsidRPr="00B34343">
        <w:rPr>
          <w:i/>
          <w:iCs/>
        </w:rPr>
        <w:t>ervices</w:t>
      </w:r>
      <w:r w:rsidR="00B34343">
        <w:rPr>
          <w:i/>
          <w:iCs/>
        </w:rPr>
        <w:t xml:space="preserve"> activities faced headwinds</w:t>
      </w:r>
      <w:r w:rsidR="00CB51F7" w:rsidRPr="00B34343">
        <w:rPr>
          <w:i/>
          <w:iCs/>
        </w:rPr>
        <w:t xml:space="preserve"> with many companies in</w:t>
      </w:r>
      <w:r w:rsidR="00B34343">
        <w:rPr>
          <w:i/>
          <w:iCs/>
        </w:rPr>
        <w:t xml:space="preserve"> </w:t>
      </w:r>
      <w:r w:rsidR="00CB51F7" w:rsidRPr="00B34343">
        <w:rPr>
          <w:i/>
          <w:iCs/>
        </w:rPr>
        <w:t>loc</w:t>
      </w:r>
      <w:r w:rsidR="00B34343">
        <w:rPr>
          <w:i/>
          <w:iCs/>
        </w:rPr>
        <w:t>kdown</w:t>
      </w:r>
      <w:r w:rsidR="0019012C" w:rsidRPr="00B34343">
        <w:rPr>
          <w:i/>
          <w:iCs/>
        </w:rPr>
        <w:t xml:space="preserve"> or manufacturing sites with restrictions</w:t>
      </w:r>
      <w:r w:rsidR="009F491D" w:rsidRPr="00B34343">
        <w:rPr>
          <w:i/>
          <w:iCs/>
        </w:rPr>
        <w:t>.</w:t>
      </w:r>
      <w:r w:rsidR="00353AE8">
        <w:rPr>
          <w:i/>
          <w:iCs/>
        </w:rPr>
        <w:t xml:space="preserve"> </w:t>
      </w:r>
    </w:p>
    <w:p w14:paraId="15F9FBD6" w14:textId="77777777" w:rsidR="00F56368" w:rsidRDefault="00F56368" w:rsidP="00353AE8">
      <w:pPr>
        <w:jc w:val="both"/>
        <w:rPr>
          <w:i/>
          <w:iCs/>
        </w:rPr>
      </w:pPr>
    </w:p>
    <w:p w14:paraId="153E9073" w14:textId="7BDAC335" w:rsidR="007E3EAC" w:rsidRDefault="00DF15C6" w:rsidP="007E3EAC">
      <w:pPr>
        <w:jc w:val="both"/>
        <w:rPr>
          <w:i/>
          <w:iCs/>
        </w:rPr>
      </w:pPr>
      <w:r>
        <w:rPr>
          <w:i/>
          <w:iCs/>
        </w:rPr>
        <w:t>“In Life Sciences,</w:t>
      </w:r>
      <w:r w:rsidR="00B34343">
        <w:rPr>
          <w:i/>
          <w:iCs/>
        </w:rPr>
        <w:t xml:space="preserve"> our second largest industry,</w:t>
      </w:r>
      <w:r>
        <w:rPr>
          <w:i/>
          <w:iCs/>
        </w:rPr>
        <w:t xml:space="preserve"> </w:t>
      </w:r>
      <w:proofErr w:type="spellStart"/>
      <w:r>
        <w:rPr>
          <w:i/>
          <w:iCs/>
        </w:rPr>
        <w:t>Medidata</w:t>
      </w:r>
      <w:proofErr w:type="spellEnd"/>
      <w:r>
        <w:rPr>
          <w:i/>
          <w:iCs/>
        </w:rPr>
        <w:t xml:space="preserve"> delivered </w:t>
      </w:r>
      <w:r w:rsidR="001A2B6D">
        <w:rPr>
          <w:i/>
          <w:iCs/>
        </w:rPr>
        <w:t xml:space="preserve">on a </w:t>
      </w:r>
      <w:r w:rsidR="0034264D">
        <w:rPr>
          <w:i/>
          <w:iCs/>
        </w:rPr>
        <w:t xml:space="preserve">comparable </w:t>
      </w:r>
      <w:r w:rsidR="001A2B6D">
        <w:rPr>
          <w:i/>
          <w:iCs/>
        </w:rPr>
        <w:t xml:space="preserve">basis </w:t>
      </w:r>
      <w:r w:rsidR="00C83B1D">
        <w:rPr>
          <w:i/>
          <w:iCs/>
        </w:rPr>
        <w:t>a strong quarter for revenue</w:t>
      </w:r>
      <w:r w:rsidR="007A2A5B">
        <w:rPr>
          <w:i/>
          <w:iCs/>
        </w:rPr>
        <w:t xml:space="preserve"> and op</w:t>
      </w:r>
      <w:r w:rsidR="00C83B1D">
        <w:rPr>
          <w:i/>
          <w:iCs/>
        </w:rPr>
        <w:t>erating margin improvement. Importantly, with its</w:t>
      </w:r>
      <w:r w:rsidR="007A2A5B">
        <w:rPr>
          <w:i/>
          <w:iCs/>
        </w:rPr>
        <w:t xml:space="preserve"> strong booking growth</w:t>
      </w:r>
      <w:r w:rsidR="00EB1F19" w:rsidRPr="00EB1F19">
        <w:rPr>
          <w:i/>
          <w:iCs/>
        </w:rPr>
        <w:t xml:space="preserve"> </w:t>
      </w:r>
      <w:r w:rsidR="00EB1F19">
        <w:rPr>
          <w:i/>
          <w:iCs/>
        </w:rPr>
        <w:t>and 95% of its total revenue target in place</w:t>
      </w:r>
      <w:r w:rsidR="00C83B1D">
        <w:rPr>
          <w:i/>
          <w:iCs/>
        </w:rPr>
        <w:t xml:space="preserve">, </w:t>
      </w:r>
      <w:proofErr w:type="spellStart"/>
      <w:r w:rsidR="00C83B1D">
        <w:rPr>
          <w:i/>
          <w:iCs/>
        </w:rPr>
        <w:t>Medidata</w:t>
      </w:r>
      <w:proofErr w:type="spellEnd"/>
      <w:r w:rsidR="00C83B1D">
        <w:rPr>
          <w:i/>
          <w:iCs/>
        </w:rPr>
        <w:t xml:space="preserve"> </w:t>
      </w:r>
      <w:proofErr w:type="gramStart"/>
      <w:r w:rsidR="00C83B1D">
        <w:rPr>
          <w:i/>
          <w:iCs/>
        </w:rPr>
        <w:t>is well</w:t>
      </w:r>
      <w:r w:rsidR="00BC1B98">
        <w:rPr>
          <w:i/>
          <w:iCs/>
        </w:rPr>
        <w:t xml:space="preserve"> </w:t>
      </w:r>
      <w:r>
        <w:rPr>
          <w:i/>
          <w:iCs/>
        </w:rPr>
        <w:t>positioned</w:t>
      </w:r>
      <w:proofErr w:type="gramEnd"/>
      <w:r>
        <w:rPr>
          <w:i/>
          <w:iCs/>
        </w:rPr>
        <w:t xml:space="preserve"> to achieve its growth objectives for the full year</w:t>
      </w:r>
      <w:r w:rsidR="00EB1F19">
        <w:rPr>
          <w:i/>
          <w:iCs/>
        </w:rPr>
        <w:t>.</w:t>
      </w:r>
    </w:p>
    <w:p w14:paraId="5A75ED19" w14:textId="77777777" w:rsidR="00E7745A" w:rsidRPr="00575387" w:rsidRDefault="00E7745A" w:rsidP="007E3EAC">
      <w:pPr>
        <w:jc w:val="both"/>
        <w:rPr>
          <w:i/>
          <w:iCs/>
        </w:rPr>
      </w:pPr>
    </w:p>
    <w:p w14:paraId="4B179E0E" w14:textId="73D9DC3B" w:rsidR="009F491D" w:rsidRDefault="009F491D" w:rsidP="0036477B">
      <w:pPr>
        <w:spacing w:after="240"/>
        <w:jc w:val="both"/>
        <w:rPr>
          <w:i/>
          <w:iCs/>
        </w:rPr>
      </w:pPr>
      <w:r>
        <w:rPr>
          <w:i/>
          <w:iCs/>
        </w:rPr>
        <w:t>“B</w:t>
      </w:r>
      <w:r w:rsidRPr="00F15B77">
        <w:rPr>
          <w:i/>
          <w:iCs/>
        </w:rPr>
        <w:t>ased upon</w:t>
      </w:r>
      <w:r>
        <w:rPr>
          <w:i/>
          <w:iCs/>
        </w:rPr>
        <w:t xml:space="preserve"> our results for the First Half and H2</w:t>
      </w:r>
      <w:r w:rsidRPr="00F15B77">
        <w:rPr>
          <w:i/>
          <w:iCs/>
        </w:rPr>
        <w:t xml:space="preserve"> assessment, </w:t>
      </w:r>
      <w:r>
        <w:rPr>
          <w:i/>
          <w:iCs/>
        </w:rPr>
        <w:t xml:space="preserve">we </w:t>
      </w:r>
      <w:r w:rsidRPr="00F15B77">
        <w:rPr>
          <w:i/>
          <w:iCs/>
        </w:rPr>
        <w:t>are reaffirming our full yea</w:t>
      </w:r>
      <w:r w:rsidR="008C3661">
        <w:rPr>
          <w:i/>
          <w:iCs/>
        </w:rPr>
        <w:t>r financial framework objective</w:t>
      </w:r>
      <w:r>
        <w:rPr>
          <w:i/>
          <w:iCs/>
        </w:rPr>
        <w:t xml:space="preserve"> targeting </w:t>
      </w:r>
      <w:r w:rsidRPr="0063059E">
        <w:rPr>
          <w:i/>
          <w:iCs/>
        </w:rPr>
        <w:t xml:space="preserve">non-IFRS earnings per share </w:t>
      </w:r>
      <w:r w:rsidR="00C63C1F">
        <w:rPr>
          <w:i/>
          <w:iCs/>
        </w:rPr>
        <w:t>of</w:t>
      </w:r>
      <w:r w:rsidR="002D7FEB">
        <w:rPr>
          <w:i/>
          <w:iCs/>
        </w:rPr>
        <w:t xml:space="preserve"> about €3.70 to €3.75 </w:t>
      </w:r>
      <w:r w:rsidRPr="0063059E">
        <w:rPr>
          <w:i/>
          <w:iCs/>
        </w:rPr>
        <w:t xml:space="preserve">for 2020 in comparison </w:t>
      </w:r>
      <w:r w:rsidR="00C63C1F">
        <w:rPr>
          <w:i/>
          <w:iCs/>
        </w:rPr>
        <w:t>to</w:t>
      </w:r>
      <w:r w:rsidR="002D7FEB">
        <w:rPr>
          <w:i/>
          <w:iCs/>
        </w:rPr>
        <w:t xml:space="preserve"> €3.65 </w:t>
      </w:r>
      <w:r w:rsidRPr="0063059E">
        <w:rPr>
          <w:i/>
          <w:iCs/>
        </w:rPr>
        <w:t>to 2019</w:t>
      </w:r>
      <w:r>
        <w:rPr>
          <w:i/>
          <w:iCs/>
        </w:rPr>
        <w:t>. This planning framework continues to assume some underlying improvement in global GDP in the second half based upon current governmental plans in the major geo</w:t>
      </w:r>
      <w:r w:rsidR="009B31CC">
        <w:rPr>
          <w:i/>
          <w:iCs/>
        </w:rPr>
        <w:t>graphie</w:t>
      </w:r>
      <w:r>
        <w:rPr>
          <w:i/>
          <w:iCs/>
        </w:rPr>
        <w:t>s we serve</w:t>
      </w:r>
      <w:r w:rsidRPr="001C53FB">
        <w:rPr>
          <w:i/>
          <w:iCs/>
        </w:rPr>
        <w:t>.</w:t>
      </w:r>
      <w:r w:rsidR="006527DC">
        <w:rPr>
          <w:i/>
          <w:iCs/>
        </w:rPr>
        <w:t xml:space="preserve"> We also anticipate that changes in </w:t>
      </w:r>
      <w:r w:rsidR="000602DC">
        <w:rPr>
          <w:i/>
          <w:iCs/>
        </w:rPr>
        <w:t>COVID</w:t>
      </w:r>
      <w:r>
        <w:rPr>
          <w:i/>
          <w:iCs/>
        </w:rPr>
        <w:t>-19 outbreaks</w:t>
      </w:r>
      <w:r w:rsidR="006527DC">
        <w:rPr>
          <w:i/>
          <w:iCs/>
        </w:rPr>
        <w:t xml:space="preserve"> will continue to result in</w:t>
      </w:r>
      <w:r>
        <w:rPr>
          <w:i/>
          <w:iCs/>
        </w:rPr>
        <w:t xml:space="preserve"> a choppy demand recovery environment</w:t>
      </w:r>
      <w:r w:rsidR="0019012C">
        <w:rPr>
          <w:i/>
          <w:iCs/>
        </w:rPr>
        <w:t xml:space="preserve"> and therefore believe our framework assumptions are appropriate</w:t>
      </w:r>
      <w:r>
        <w:rPr>
          <w:i/>
          <w:iCs/>
        </w:rPr>
        <w:t>.</w:t>
      </w:r>
      <w:r w:rsidR="00710D16">
        <w:rPr>
          <w:i/>
          <w:iCs/>
        </w:rPr>
        <w:t>”</w:t>
      </w:r>
    </w:p>
    <w:p w14:paraId="1EF1C5DD" w14:textId="212AD061" w:rsidR="001C1280" w:rsidRDefault="001C1280" w:rsidP="00775900">
      <w:pPr>
        <w:jc w:val="both"/>
        <w:rPr>
          <w:i/>
          <w:iCs/>
        </w:rPr>
      </w:pPr>
    </w:p>
    <w:p w14:paraId="00B24F22" w14:textId="44388770" w:rsidR="00DF4742" w:rsidRPr="003C12D8" w:rsidRDefault="00DF4742" w:rsidP="00DF4742">
      <w:pPr>
        <w:jc w:val="both"/>
        <w:rPr>
          <w:rFonts w:asciiTheme="minorHAnsi" w:hAnsiTheme="minorHAnsi" w:cstheme="minorHAnsi"/>
          <w:b/>
        </w:rPr>
      </w:pPr>
      <w:r w:rsidRPr="003C12D8">
        <w:rPr>
          <w:rFonts w:asciiTheme="minorHAnsi" w:hAnsiTheme="minorHAnsi" w:cstheme="minorHAnsi"/>
          <w:b/>
        </w:rPr>
        <w:t>Financial Objectives</w:t>
      </w:r>
      <w:r w:rsidR="003E566A" w:rsidRPr="003C12D8">
        <w:rPr>
          <w:rFonts w:asciiTheme="minorHAnsi" w:hAnsiTheme="minorHAnsi" w:cstheme="minorHAnsi"/>
          <w:b/>
        </w:rPr>
        <w:t xml:space="preserve"> </w:t>
      </w:r>
      <w:r w:rsidR="00EA7D3D">
        <w:rPr>
          <w:rFonts w:asciiTheme="minorHAnsi" w:hAnsiTheme="minorHAnsi" w:cstheme="minorHAnsi"/>
          <w:b/>
        </w:rPr>
        <w:t>Framework</w:t>
      </w:r>
      <w:r w:rsidR="00266F02">
        <w:rPr>
          <w:rFonts w:asciiTheme="minorHAnsi" w:hAnsiTheme="minorHAnsi" w:cstheme="minorHAnsi"/>
          <w:b/>
        </w:rPr>
        <w:t xml:space="preserve"> for the Third Quarter and 2020 Full Year</w:t>
      </w:r>
    </w:p>
    <w:p w14:paraId="53927277" w14:textId="77777777" w:rsidR="00DF4742" w:rsidRPr="003C12D8" w:rsidRDefault="00DF4742" w:rsidP="00DF4742">
      <w:pPr>
        <w:jc w:val="both"/>
        <w:rPr>
          <w:rFonts w:asciiTheme="minorHAnsi" w:hAnsiTheme="minorHAnsi" w:cstheme="minorHAnsi"/>
        </w:rPr>
      </w:pPr>
    </w:p>
    <w:p w14:paraId="343E1D87" w14:textId="637F3758" w:rsidR="00676412" w:rsidRDefault="00164DF7" w:rsidP="00DF4742">
      <w:pPr>
        <w:jc w:val="both"/>
        <w:rPr>
          <w:rFonts w:asciiTheme="minorHAnsi" w:hAnsiTheme="minorHAnsi" w:cstheme="minorHAnsi"/>
        </w:rPr>
      </w:pPr>
      <w:r>
        <w:rPr>
          <w:rFonts w:asciiTheme="minorHAnsi" w:hAnsiTheme="minorHAnsi" w:cstheme="minorHAnsi"/>
        </w:rPr>
        <w:t>T</w:t>
      </w:r>
      <w:r w:rsidR="00676412">
        <w:rPr>
          <w:rFonts w:asciiTheme="minorHAnsi" w:hAnsiTheme="minorHAnsi" w:cstheme="minorHAnsi"/>
        </w:rPr>
        <w:t xml:space="preserve">he </w:t>
      </w:r>
      <w:r w:rsidR="00BF0DFD">
        <w:rPr>
          <w:rFonts w:asciiTheme="minorHAnsi" w:hAnsiTheme="minorHAnsi" w:cstheme="minorHAnsi"/>
        </w:rPr>
        <w:t xml:space="preserve">Group </w:t>
      </w:r>
      <w:r w:rsidR="00676412">
        <w:rPr>
          <w:rFonts w:asciiTheme="minorHAnsi" w:hAnsiTheme="minorHAnsi" w:cstheme="minorHAnsi"/>
        </w:rPr>
        <w:t>has set the following frame</w:t>
      </w:r>
      <w:r w:rsidR="00266F02">
        <w:rPr>
          <w:rFonts w:asciiTheme="minorHAnsi" w:hAnsiTheme="minorHAnsi" w:cstheme="minorHAnsi"/>
        </w:rPr>
        <w:t>work as the basis for its third</w:t>
      </w:r>
      <w:r w:rsidR="00676412">
        <w:rPr>
          <w:rFonts w:asciiTheme="minorHAnsi" w:hAnsiTheme="minorHAnsi" w:cstheme="minorHAnsi"/>
        </w:rPr>
        <w:t xml:space="preserve"> quarter and fu</w:t>
      </w:r>
      <w:r w:rsidR="00266F02">
        <w:rPr>
          <w:rFonts w:asciiTheme="minorHAnsi" w:hAnsiTheme="minorHAnsi" w:cstheme="minorHAnsi"/>
        </w:rPr>
        <w:t>ll year financial objectives. T</w:t>
      </w:r>
      <w:r w:rsidR="00676412">
        <w:rPr>
          <w:rFonts w:asciiTheme="minorHAnsi" w:hAnsiTheme="minorHAnsi" w:cstheme="minorHAnsi"/>
        </w:rPr>
        <w:t xml:space="preserve">he </w:t>
      </w:r>
      <w:r w:rsidR="00BF0DFD">
        <w:rPr>
          <w:rFonts w:asciiTheme="minorHAnsi" w:hAnsiTheme="minorHAnsi" w:cstheme="minorHAnsi"/>
        </w:rPr>
        <w:t xml:space="preserve">Group </w:t>
      </w:r>
      <w:r w:rsidR="00266F02">
        <w:rPr>
          <w:rFonts w:asciiTheme="minorHAnsi" w:hAnsiTheme="minorHAnsi" w:cstheme="minorHAnsi"/>
        </w:rPr>
        <w:t>is using these objectives</w:t>
      </w:r>
      <w:r w:rsidR="00676412">
        <w:rPr>
          <w:rFonts w:asciiTheme="minorHAnsi" w:hAnsiTheme="minorHAnsi" w:cstheme="minorHAnsi"/>
        </w:rPr>
        <w:t xml:space="preserve"> to conduct its internal planning</w:t>
      </w:r>
      <w:r w:rsidR="00292CF6">
        <w:rPr>
          <w:rFonts w:asciiTheme="minorHAnsi" w:hAnsiTheme="minorHAnsi" w:cstheme="minorHAnsi"/>
        </w:rPr>
        <w:t>.</w:t>
      </w:r>
      <w:r>
        <w:rPr>
          <w:rFonts w:asciiTheme="minorHAnsi" w:hAnsiTheme="minorHAnsi" w:cstheme="minorHAnsi"/>
        </w:rPr>
        <w:t xml:space="preserve"> </w:t>
      </w:r>
      <w:r w:rsidR="00676412">
        <w:rPr>
          <w:rFonts w:asciiTheme="minorHAnsi" w:hAnsiTheme="minorHAnsi" w:cstheme="minorHAnsi"/>
        </w:rPr>
        <w:t>Key framework assumptions</w:t>
      </w:r>
      <w:r w:rsidR="00F56368">
        <w:rPr>
          <w:rFonts w:asciiTheme="minorHAnsi" w:hAnsiTheme="minorHAnsi" w:cstheme="minorHAnsi"/>
        </w:rPr>
        <w:t xml:space="preserve"> and targeted growth rates</w:t>
      </w:r>
      <w:r w:rsidR="004A483F">
        <w:rPr>
          <w:rFonts w:asciiTheme="minorHAnsi" w:hAnsiTheme="minorHAnsi" w:cstheme="minorHAnsi"/>
        </w:rPr>
        <w:t>, outlined in April 2020, are</w:t>
      </w:r>
      <w:r w:rsidR="00F56368">
        <w:rPr>
          <w:rFonts w:asciiTheme="minorHAnsi" w:hAnsiTheme="minorHAnsi" w:cstheme="minorHAnsi"/>
        </w:rPr>
        <w:t xml:space="preserve"> confirmed or refined</w:t>
      </w:r>
      <w:r w:rsidR="00676412">
        <w:rPr>
          <w:rFonts w:asciiTheme="minorHAnsi" w:hAnsiTheme="minorHAnsi" w:cstheme="minorHAnsi"/>
        </w:rPr>
        <w:t xml:space="preserve"> as follows:</w:t>
      </w:r>
    </w:p>
    <w:p w14:paraId="4DFF8A8D" w14:textId="77777777" w:rsidR="00B209A0" w:rsidRDefault="00B209A0" w:rsidP="00DF4742">
      <w:pPr>
        <w:jc w:val="both"/>
        <w:rPr>
          <w:rFonts w:asciiTheme="minorHAnsi" w:hAnsiTheme="minorHAnsi" w:cstheme="minorHAnsi"/>
        </w:rPr>
      </w:pPr>
    </w:p>
    <w:p w14:paraId="5F731A23" w14:textId="3D19B0C5" w:rsidR="00676412" w:rsidRDefault="00676412" w:rsidP="00DE04CB">
      <w:pPr>
        <w:pStyle w:val="ListParagraph"/>
        <w:numPr>
          <w:ilvl w:val="0"/>
          <w:numId w:val="49"/>
        </w:numPr>
        <w:spacing w:line="240" w:lineRule="auto"/>
        <w:jc w:val="both"/>
        <w:rPr>
          <w:rFonts w:cstheme="minorHAnsi"/>
        </w:rPr>
      </w:pPr>
      <w:r>
        <w:rPr>
          <w:rFonts w:cstheme="minorHAnsi"/>
        </w:rPr>
        <w:t>A significant deceleration in global GDP</w:t>
      </w:r>
      <w:r w:rsidR="00BE45FE">
        <w:rPr>
          <w:rFonts w:cstheme="minorHAnsi"/>
        </w:rPr>
        <w:t xml:space="preserve"> for the full year 2020 compared to 2019</w:t>
      </w:r>
      <w:r>
        <w:rPr>
          <w:rFonts w:cstheme="minorHAnsi"/>
        </w:rPr>
        <w:t xml:space="preserve"> and restrictions </w:t>
      </w:r>
      <w:r w:rsidR="00C7469C">
        <w:rPr>
          <w:rFonts w:cstheme="minorHAnsi"/>
        </w:rPr>
        <w:t>i</w:t>
      </w:r>
      <w:r>
        <w:rPr>
          <w:rFonts w:cstheme="minorHAnsi"/>
        </w:rPr>
        <w:t>n a number of industries</w:t>
      </w:r>
      <w:r w:rsidR="00164DF7">
        <w:rPr>
          <w:rFonts w:cstheme="minorHAnsi"/>
        </w:rPr>
        <w:t xml:space="preserve"> based upon current governmental plans in the Americas, Europe and Asia,</w:t>
      </w:r>
      <w:r>
        <w:rPr>
          <w:rFonts w:cstheme="minorHAnsi"/>
        </w:rPr>
        <w:t xml:space="preserve"> leading to </w:t>
      </w:r>
      <w:r w:rsidR="00E63E31">
        <w:rPr>
          <w:rFonts w:cstheme="minorHAnsi"/>
        </w:rPr>
        <w:t xml:space="preserve">non-IFRS </w:t>
      </w:r>
      <w:r>
        <w:rPr>
          <w:rFonts w:cstheme="minorHAnsi"/>
        </w:rPr>
        <w:t>licenses</w:t>
      </w:r>
      <w:r w:rsidR="00BE45FE">
        <w:rPr>
          <w:rFonts w:cstheme="minorHAnsi"/>
        </w:rPr>
        <w:t xml:space="preserve"> and other </w:t>
      </w:r>
      <w:r>
        <w:rPr>
          <w:rFonts w:cstheme="minorHAnsi"/>
        </w:rPr>
        <w:t>software revenue to decrease year over year by approximately</w:t>
      </w:r>
      <w:r w:rsidR="007376A6">
        <w:rPr>
          <w:rFonts w:cstheme="minorHAnsi"/>
        </w:rPr>
        <w:t xml:space="preserve"> -18% to -16% in constant currencies for FY 2020 (refining from</w:t>
      </w:r>
      <w:r>
        <w:rPr>
          <w:rFonts w:cstheme="minorHAnsi"/>
        </w:rPr>
        <w:t xml:space="preserve"> </w:t>
      </w:r>
      <w:r w:rsidR="00C83FDF">
        <w:rPr>
          <w:rFonts w:cstheme="minorHAnsi"/>
        </w:rPr>
        <w:t>-20</w:t>
      </w:r>
      <w:r w:rsidR="00DA28F8">
        <w:rPr>
          <w:rFonts w:cstheme="minorHAnsi"/>
        </w:rPr>
        <w:t xml:space="preserve">% to </w:t>
      </w:r>
      <w:r w:rsidR="00C83FDF">
        <w:rPr>
          <w:rFonts w:cstheme="minorHAnsi"/>
        </w:rPr>
        <w:t>-17</w:t>
      </w:r>
      <w:r w:rsidR="007376A6">
        <w:rPr>
          <w:rFonts w:cstheme="minorHAnsi"/>
        </w:rPr>
        <w:t>% previously)</w:t>
      </w:r>
      <w:r w:rsidR="002E394D">
        <w:rPr>
          <w:rFonts w:cstheme="minorHAnsi"/>
        </w:rPr>
        <w:t>;</w:t>
      </w:r>
    </w:p>
    <w:p w14:paraId="5DBEA587" w14:textId="1352FECF" w:rsidR="00676412" w:rsidRDefault="00676412" w:rsidP="00DE04CB">
      <w:pPr>
        <w:pStyle w:val="ListParagraph"/>
        <w:numPr>
          <w:ilvl w:val="0"/>
          <w:numId w:val="49"/>
        </w:numPr>
        <w:spacing w:line="240" w:lineRule="auto"/>
        <w:jc w:val="both"/>
        <w:rPr>
          <w:rFonts w:cstheme="minorHAnsi"/>
        </w:rPr>
      </w:pPr>
      <w:r>
        <w:rPr>
          <w:rFonts w:cstheme="minorHAnsi"/>
        </w:rPr>
        <w:t>Non-IFRS recurring software revenue to maintain a strong resilienc</w:t>
      </w:r>
      <w:r w:rsidR="00C7469C">
        <w:rPr>
          <w:rFonts w:cstheme="minorHAnsi"/>
        </w:rPr>
        <w:t>e</w:t>
      </w:r>
      <w:r>
        <w:rPr>
          <w:rFonts w:cstheme="minorHAnsi"/>
        </w:rPr>
        <w:t>, while reflecting lower new licenses activity</w:t>
      </w:r>
      <w:r w:rsidR="0093618E">
        <w:rPr>
          <w:rFonts w:cstheme="minorHAnsi"/>
        </w:rPr>
        <w:t xml:space="preserve"> and some increased attrition</w:t>
      </w:r>
      <w:r>
        <w:rPr>
          <w:rFonts w:cstheme="minorHAnsi"/>
        </w:rPr>
        <w:t xml:space="preserve">, leading to growth </w:t>
      </w:r>
      <w:r w:rsidR="00EC0D80">
        <w:rPr>
          <w:rFonts w:cstheme="minorHAnsi"/>
        </w:rPr>
        <w:t xml:space="preserve">of recurring revenue </w:t>
      </w:r>
      <w:r>
        <w:rPr>
          <w:rFonts w:cstheme="minorHAnsi"/>
        </w:rPr>
        <w:t xml:space="preserve">in the range of </w:t>
      </w:r>
      <w:r w:rsidR="008A76E1">
        <w:rPr>
          <w:rFonts w:cstheme="minorHAnsi"/>
        </w:rPr>
        <w:t>26</w:t>
      </w:r>
      <w:r>
        <w:rPr>
          <w:rFonts w:cstheme="minorHAnsi"/>
        </w:rPr>
        <w:t>% to</w:t>
      </w:r>
      <w:r w:rsidR="00921608">
        <w:rPr>
          <w:rFonts w:cstheme="minorHAnsi"/>
        </w:rPr>
        <w:t xml:space="preserve"> </w:t>
      </w:r>
      <w:r w:rsidR="008A76E1">
        <w:rPr>
          <w:rFonts w:cstheme="minorHAnsi"/>
        </w:rPr>
        <w:t>27</w:t>
      </w:r>
      <w:r>
        <w:rPr>
          <w:rFonts w:cstheme="minorHAnsi"/>
        </w:rPr>
        <w:t>%</w:t>
      </w:r>
      <w:r w:rsidR="00164DF7">
        <w:rPr>
          <w:rFonts w:cstheme="minorHAnsi"/>
        </w:rPr>
        <w:t xml:space="preserve"> in constant currencies</w:t>
      </w:r>
      <w:r w:rsidR="0093618E">
        <w:rPr>
          <w:rFonts w:cstheme="minorHAnsi"/>
        </w:rPr>
        <w:t xml:space="preserve"> </w:t>
      </w:r>
      <w:r w:rsidR="00164DF7">
        <w:rPr>
          <w:rFonts w:cstheme="minorHAnsi"/>
        </w:rPr>
        <w:t>for</w:t>
      </w:r>
      <w:r w:rsidR="00DA28F8">
        <w:rPr>
          <w:rFonts w:cstheme="minorHAnsi"/>
        </w:rPr>
        <w:t xml:space="preserve"> FY</w:t>
      </w:r>
      <w:r w:rsidR="0093618E">
        <w:rPr>
          <w:rFonts w:cstheme="minorHAnsi"/>
        </w:rPr>
        <w:t xml:space="preserve"> 2020</w:t>
      </w:r>
      <w:r w:rsidR="00164DF7">
        <w:rPr>
          <w:rFonts w:cstheme="minorHAnsi"/>
        </w:rPr>
        <w:t>;</w:t>
      </w:r>
    </w:p>
    <w:p w14:paraId="75E10CB3" w14:textId="033E319F" w:rsidR="00676412" w:rsidRDefault="00DA28F8" w:rsidP="00DE04CB">
      <w:pPr>
        <w:pStyle w:val="ListParagraph"/>
        <w:numPr>
          <w:ilvl w:val="0"/>
          <w:numId w:val="49"/>
        </w:numPr>
        <w:spacing w:line="240" w:lineRule="auto"/>
        <w:jc w:val="both"/>
        <w:rPr>
          <w:rFonts w:cstheme="minorHAnsi"/>
        </w:rPr>
      </w:pPr>
      <w:r>
        <w:rPr>
          <w:rFonts w:cstheme="minorHAnsi"/>
        </w:rPr>
        <w:t>Cost savings targeting to achieve a no</w:t>
      </w:r>
      <w:r w:rsidR="007376A6">
        <w:rPr>
          <w:rFonts w:cstheme="minorHAnsi"/>
        </w:rPr>
        <w:t>n-IFRS operating margin in the range of 29.3% to 29.4% for FY 2020 (refining from about</w:t>
      </w:r>
      <w:r>
        <w:rPr>
          <w:rFonts w:cstheme="minorHAnsi"/>
        </w:rPr>
        <w:t xml:space="preserve"> </w:t>
      </w:r>
      <w:r w:rsidR="00C83FDF">
        <w:rPr>
          <w:rFonts w:cstheme="minorHAnsi"/>
        </w:rPr>
        <w:t>29.5</w:t>
      </w:r>
      <w:r w:rsidR="007376A6">
        <w:rPr>
          <w:rFonts w:cstheme="minorHAnsi"/>
        </w:rPr>
        <w:t>% previously)</w:t>
      </w:r>
      <w:r w:rsidR="00164DF7">
        <w:rPr>
          <w:rFonts w:cstheme="minorHAnsi"/>
        </w:rPr>
        <w:t>;</w:t>
      </w:r>
    </w:p>
    <w:p w14:paraId="55B11501" w14:textId="45F5F9C3" w:rsidR="00676412" w:rsidRDefault="00676412" w:rsidP="00DE04CB">
      <w:pPr>
        <w:pStyle w:val="ListParagraph"/>
        <w:numPr>
          <w:ilvl w:val="0"/>
          <w:numId w:val="49"/>
        </w:numPr>
        <w:spacing w:line="240" w:lineRule="auto"/>
        <w:jc w:val="both"/>
        <w:rPr>
          <w:rFonts w:cstheme="minorHAnsi"/>
        </w:rPr>
      </w:pPr>
      <w:r>
        <w:rPr>
          <w:rFonts w:cstheme="minorHAnsi"/>
        </w:rPr>
        <w:t>Non-IFRS effective tax rate of about 25.</w:t>
      </w:r>
      <w:r w:rsidR="00C83FDF">
        <w:rPr>
          <w:rFonts w:cstheme="minorHAnsi"/>
        </w:rPr>
        <w:t>2</w:t>
      </w:r>
      <w:r>
        <w:rPr>
          <w:rFonts w:cstheme="minorHAnsi"/>
        </w:rPr>
        <w:t xml:space="preserve">% </w:t>
      </w:r>
      <w:r w:rsidR="0093618E">
        <w:rPr>
          <w:rFonts w:cstheme="minorHAnsi"/>
        </w:rPr>
        <w:t>for FY 2020</w:t>
      </w:r>
      <w:r w:rsidR="002E394D">
        <w:rPr>
          <w:rFonts w:cstheme="minorHAnsi"/>
        </w:rPr>
        <w:t>.</w:t>
      </w:r>
    </w:p>
    <w:p w14:paraId="057FA973" w14:textId="77777777" w:rsidR="001F66E3" w:rsidRDefault="001F66E3" w:rsidP="00DE04CB">
      <w:pPr>
        <w:pStyle w:val="ListParagraph"/>
        <w:spacing w:after="0"/>
        <w:jc w:val="both"/>
        <w:rPr>
          <w:rFonts w:cstheme="minorHAnsi"/>
        </w:rPr>
      </w:pPr>
    </w:p>
    <w:p w14:paraId="0D1B02AE" w14:textId="77777777" w:rsidR="00DF4742" w:rsidRPr="003C12D8" w:rsidRDefault="00EA7D3D" w:rsidP="00DF4742">
      <w:pPr>
        <w:jc w:val="both"/>
        <w:rPr>
          <w:rFonts w:asciiTheme="minorHAnsi" w:hAnsiTheme="minorHAnsi" w:cstheme="minorHAnsi"/>
        </w:rPr>
      </w:pPr>
      <w:r>
        <w:rPr>
          <w:rFonts w:asciiTheme="minorHAnsi" w:hAnsiTheme="minorHAnsi" w:cstheme="minorHAnsi"/>
        </w:rPr>
        <w:t xml:space="preserve">Dassault Systèmes’ </w:t>
      </w:r>
      <w:r w:rsidR="00DF4742" w:rsidRPr="003C12D8">
        <w:rPr>
          <w:rFonts w:asciiTheme="minorHAnsi" w:hAnsiTheme="minorHAnsi" w:cstheme="minorHAnsi"/>
        </w:rPr>
        <w:t xml:space="preserve">full year </w:t>
      </w:r>
      <w:r w:rsidR="00D6269F" w:rsidRPr="003C12D8">
        <w:rPr>
          <w:rFonts w:asciiTheme="minorHAnsi" w:hAnsiTheme="minorHAnsi" w:cstheme="minorHAnsi"/>
        </w:rPr>
        <w:t>202</w:t>
      </w:r>
      <w:r w:rsidR="001B0CC5" w:rsidRPr="003C12D8">
        <w:rPr>
          <w:rFonts w:asciiTheme="minorHAnsi" w:hAnsiTheme="minorHAnsi" w:cstheme="minorHAnsi"/>
        </w:rPr>
        <w:t>0</w:t>
      </w:r>
      <w:r w:rsidR="00DF4742" w:rsidRPr="003C12D8">
        <w:rPr>
          <w:rFonts w:asciiTheme="minorHAnsi" w:hAnsiTheme="minorHAnsi" w:cstheme="minorHAnsi"/>
        </w:rPr>
        <w:t xml:space="preserve"> financial objectives presented below</w:t>
      </w:r>
      <w:r w:rsidR="00A605EA" w:rsidRPr="003C12D8">
        <w:rPr>
          <w:rFonts w:asciiTheme="minorHAnsi" w:hAnsiTheme="minorHAnsi" w:cstheme="minorHAnsi"/>
        </w:rPr>
        <w:t xml:space="preserve"> </w:t>
      </w:r>
      <w:r w:rsidR="00C932B0" w:rsidRPr="003C12D8">
        <w:rPr>
          <w:rFonts w:asciiTheme="minorHAnsi" w:hAnsiTheme="minorHAnsi" w:cstheme="minorHAnsi"/>
        </w:rPr>
        <w:t>are given on a</w:t>
      </w:r>
      <w:r w:rsidR="00DF4742" w:rsidRPr="003C12D8">
        <w:rPr>
          <w:rFonts w:asciiTheme="minorHAnsi" w:hAnsiTheme="minorHAnsi" w:cstheme="minorHAnsi"/>
        </w:rPr>
        <w:t xml:space="preserve"> non-IFRS basis and reflect the principal 20</w:t>
      </w:r>
      <w:r w:rsidR="00D6269F" w:rsidRPr="003C12D8">
        <w:rPr>
          <w:rFonts w:asciiTheme="minorHAnsi" w:hAnsiTheme="minorHAnsi" w:cstheme="minorHAnsi"/>
        </w:rPr>
        <w:t>20</w:t>
      </w:r>
      <w:r w:rsidR="00DF4742" w:rsidRPr="003C12D8">
        <w:rPr>
          <w:rFonts w:asciiTheme="minorHAnsi" w:hAnsiTheme="minorHAnsi" w:cstheme="minorHAnsi"/>
        </w:rPr>
        <w:t xml:space="preserve"> currency exchange rate assumptions below for the US dollar and Japanese yen as well as the potential impact from additional non-Euro currencies:</w:t>
      </w:r>
    </w:p>
    <w:p w14:paraId="604277EB" w14:textId="77777777" w:rsidR="00DF4742" w:rsidRDefault="00DF4742" w:rsidP="00DF4742">
      <w:pPr>
        <w:jc w:val="both"/>
        <w:rPr>
          <w:rFonts w:asciiTheme="minorHAnsi" w:hAnsiTheme="minorHAnsi" w:cstheme="minorHAnsi"/>
          <w:sz w:val="24"/>
          <w:szCs w:val="24"/>
        </w:rPr>
      </w:pPr>
    </w:p>
    <w:p w14:paraId="70FF60BD" w14:textId="77777777" w:rsidR="00127200" w:rsidRPr="00DF4742" w:rsidRDefault="00127200" w:rsidP="00DF4742">
      <w:pPr>
        <w:jc w:val="both"/>
        <w:rPr>
          <w:rFonts w:asciiTheme="minorHAnsi" w:hAnsiTheme="minorHAnsi" w:cstheme="minorHAnsi"/>
          <w:sz w:val="24"/>
          <w:szCs w:val="24"/>
        </w:rPr>
      </w:pPr>
    </w:p>
    <w:tbl>
      <w:tblPr>
        <w:tblW w:w="9303" w:type="dxa"/>
        <w:tblLook w:val="04A0" w:firstRow="1" w:lastRow="0" w:firstColumn="1" w:lastColumn="0" w:noHBand="0" w:noVBand="1"/>
      </w:tblPr>
      <w:tblGrid>
        <w:gridCol w:w="2972"/>
        <w:gridCol w:w="236"/>
        <w:gridCol w:w="2835"/>
        <w:gridCol w:w="236"/>
        <w:gridCol w:w="3024"/>
      </w:tblGrid>
      <w:tr w:rsidR="00DF4742" w:rsidRPr="00E655EE" w14:paraId="5B7DD79F" w14:textId="77777777" w:rsidTr="00942B67">
        <w:trPr>
          <w:trHeight w:val="272"/>
        </w:trPr>
        <w:tc>
          <w:tcPr>
            <w:tcW w:w="2972" w:type="dxa"/>
            <w:tcBorders>
              <w:right w:val="single" w:sz="4" w:space="0" w:color="auto"/>
            </w:tcBorders>
          </w:tcPr>
          <w:p w14:paraId="102F21DB" w14:textId="77777777" w:rsidR="00DF4742" w:rsidRPr="00E655EE" w:rsidRDefault="00DF4742" w:rsidP="00E655EE">
            <w:pPr>
              <w:jc w:val="both"/>
              <w:rPr>
                <w:rFonts w:asciiTheme="minorHAnsi" w:hAnsiTheme="minorHAnsi" w:cstheme="minorHAnsi"/>
                <w:sz w:val="18"/>
                <w:szCs w:val="18"/>
                <w:lang w:eastAsia="ja-JP"/>
              </w:rPr>
            </w:pPr>
          </w:p>
        </w:tc>
        <w:tc>
          <w:tcPr>
            <w:tcW w:w="236" w:type="dxa"/>
            <w:tcBorders>
              <w:top w:val="nil"/>
              <w:left w:val="single" w:sz="4" w:space="0" w:color="auto"/>
              <w:bottom w:val="nil"/>
              <w:right w:val="single" w:sz="4" w:space="0" w:color="auto"/>
            </w:tcBorders>
          </w:tcPr>
          <w:p w14:paraId="7B329750" w14:textId="77777777" w:rsidR="00DF4742" w:rsidRPr="00E655EE" w:rsidRDefault="00DF4742" w:rsidP="00E655EE">
            <w:pPr>
              <w:jc w:val="center"/>
              <w:rPr>
                <w:rFonts w:asciiTheme="minorHAnsi" w:hAnsiTheme="minorHAnsi" w:cstheme="minorHAnsi"/>
                <w:b/>
                <w:sz w:val="18"/>
                <w:szCs w:val="18"/>
                <w:lang w:eastAsia="ja-JP"/>
              </w:rPr>
            </w:pPr>
          </w:p>
        </w:tc>
        <w:tc>
          <w:tcPr>
            <w:tcW w:w="2835" w:type="dxa"/>
            <w:tcBorders>
              <w:left w:val="single" w:sz="4" w:space="0" w:color="auto"/>
              <w:right w:val="single" w:sz="4" w:space="0" w:color="auto"/>
            </w:tcBorders>
          </w:tcPr>
          <w:p w14:paraId="5EE3C036" w14:textId="5AC17755" w:rsidR="00DF4742" w:rsidRPr="00DC6907" w:rsidRDefault="00266F02" w:rsidP="00E655EE">
            <w:pPr>
              <w:jc w:val="center"/>
              <w:rPr>
                <w:rFonts w:asciiTheme="minorHAnsi" w:hAnsiTheme="minorHAnsi" w:cstheme="minorHAnsi"/>
                <w:b/>
                <w:sz w:val="18"/>
                <w:szCs w:val="18"/>
                <w:lang w:eastAsia="ja-JP"/>
              </w:rPr>
            </w:pPr>
            <w:r>
              <w:rPr>
                <w:rFonts w:asciiTheme="minorHAnsi" w:hAnsiTheme="minorHAnsi" w:cstheme="minorHAnsi"/>
                <w:b/>
                <w:sz w:val="18"/>
                <w:szCs w:val="18"/>
                <w:lang w:eastAsia="ja-JP"/>
              </w:rPr>
              <w:t>Q3</w:t>
            </w:r>
            <w:r w:rsidR="00DF4742" w:rsidRPr="00DC6907">
              <w:rPr>
                <w:rFonts w:asciiTheme="minorHAnsi" w:hAnsiTheme="minorHAnsi" w:cstheme="minorHAnsi"/>
                <w:b/>
                <w:sz w:val="18"/>
                <w:szCs w:val="18"/>
                <w:lang w:eastAsia="ja-JP"/>
              </w:rPr>
              <w:t xml:space="preserve"> 20</w:t>
            </w:r>
            <w:r w:rsidR="00D6269F">
              <w:rPr>
                <w:rFonts w:asciiTheme="minorHAnsi" w:hAnsiTheme="minorHAnsi" w:cstheme="minorHAnsi"/>
                <w:b/>
                <w:sz w:val="18"/>
                <w:szCs w:val="18"/>
                <w:lang w:eastAsia="ja-JP"/>
              </w:rPr>
              <w:t>20</w:t>
            </w:r>
            <w:r w:rsidR="00B209A0">
              <w:rPr>
                <w:rFonts w:asciiTheme="minorHAnsi" w:hAnsiTheme="minorHAnsi" w:cstheme="minorHAnsi"/>
                <w:b/>
                <w:sz w:val="18"/>
                <w:szCs w:val="18"/>
                <w:lang w:eastAsia="ja-JP"/>
              </w:rPr>
              <w:t xml:space="preserve"> Framework</w:t>
            </w:r>
            <w:r w:rsidR="0038280C">
              <w:rPr>
                <w:rFonts w:asciiTheme="minorHAnsi" w:hAnsiTheme="minorHAnsi" w:cstheme="minorHAnsi"/>
                <w:b/>
                <w:sz w:val="18"/>
                <w:szCs w:val="18"/>
                <w:lang w:eastAsia="ja-JP"/>
              </w:rPr>
              <w:t xml:space="preserve"> </w:t>
            </w:r>
          </w:p>
        </w:tc>
        <w:tc>
          <w:tcPr>
            <w:tcW w:w="236" w:type="dxa"/>
            <w:tcBorders>
              <w:top w:val="nil"/>
              <w:left w:val="single" w:sz="4" w:space="0" w:color="auto"/>
              <w:bottom w:val="nil"/>
              <w:right w:val="single" w:sz="4" w:space="0" w:color="auto"/>
            </w:tcBorders>
          </w:tcPr>
          <w:p w14:paraId="6251C409" w14:textId="77777777" w:rsidR="00DF4742" w:rsidRPr="00DC6907" w:rsidRDefault="00DF4742" w:rsidP="00E655EE">
            <w:pPr>
              <w:jc w:val="center"/>
              <w:rPr>
                <w:rFonts w:asciiTheme="minorHAnsi" w:hAnsiTheme="minorHAnsi" w:cstheme="minorHAnsi"/>
                <w:b/>
                <w:sz w:val="18"/>
                <w:szCs w:val="18"/>
                <w:lang w:eastAsia="ja-JP"/>
              </w:rPr>
            </w:pPr>
          </w:p>
        </w:tc>
        <w:tc>
          <w:tcPr>
            <w:tcW w:w="3024" w:type="dxa"/>
            <w:tcBorders>
              <w:left w:val="single" w:sz="4" w:space="0" w:color="auto"/>
            </w:tcBorders>
          </w:tcPr>
          <w:p w14:paraId="75DA871A" w14:textId="06616C44" w:rsidR="00DF4742" w:rsidRPr="00DC6907" w:rsidRDefault="00EA7D3D" w:rsidP="00E655EE">
            <w:pPr>
              <w:jc w:val="center"/>
              <w:rPr>
                <w:rFonts w:asciiTheme="minorHAnsi" w:hAnsiTheme="minorHAnsi" w:cstheme="minorHAnsi"/>
                <w:b/>
                <w:sz w:val="18"/>
                <w:szCs w:val="18"/>
                <w:lang w:eastAsia="ja-JP"/>
              </w:rPr>
            </w:pPr>
            <w:r>
              <w:rPr>
                <w:rFonts w:asciiTheme="minorHAnsi" w:hAnsiTheme="minorHAnsi" w:cstheme="minorHAnsi"/>
                <w:b/>
                <w:sz w:val="18"/>
                <w:szCs w:val="18"/>
                <w:lang w:eastAsia="ja-JP"/>
              </w:rPr>
              <w:t xml:space="preserve"> FY</w:t>
            </w:r>
            <w:r w:rsidR="00DF4742" w:rsidRPr="00DC6907">
              <w:rPr>
                <w:rFonts w:asciiTheme="minorHAnsi" w:hAnsiTheme="minorHAnsi" w:cstheme="minorHAnsi"/>
                <w:b/>
                <w:sz w:val="18"/>
                <w:szCs w:val="18"/>
                <w:lang w:eastAsia="ja-JP"/>
              </w:rPr>
              <w:t xml:space="preserve"> 20</w:t>
            </w:r>
            <w:r w:rsidR="00D6269F">
              <w:rPr>
                <w:rFonts w:asciiTheme="minorHAnsi" w:hAnsiTheme="minorHAnsi" w:cstheme="minorHAnsi"/>
                <w:b/>
                <w:sz w:val="18"/>
                <w:szCs w:val="18"/>
                <w:lang w:eastAsia="ja-JP"/>
              </w:rPr>
              <w:t>20</w:t>
            </w:r>
            <w:r w:rsidR="00B209A0">
              <w:rPr>
                <w:rFonts w:asciiTheme="minorHAnsi" w:hAnsiTheme="minorHAnsi" w:cstheme="minorHAnsi"/>
                <w:b/>
                <w:sz w:val="18"/>
                <w:szCs w:val="18"/>
                <w:lang w:eastAsia="ja-JP"/>
              </w:rPr>
              <w:t xml:space="preserve"> Framework</w:t>
            </w:r>
            <w:r w:rsidR="0038280C">
              <w:rPr>
                <w:rFonts w:asciiTheme="minorHAnsi" w:hAnsiTheme="minorHAnsi" w:cstheme="minorHAnsi"/>
                <w:b/>
                <w:sz w:val="18"/>
                <w:szCs w:val="18"/>
                <w:lang w:eastAsia="ja-JP"/>
              </w:rPr>
              <w:t xml:space="preserve"> </w:t>
            </w:r>
          </w:p>
        </w:tc>
      </w:tr>
      <w:tr w:rsidR="00DF4742" w:rsidRPr="00E655EE" w14:paraId="7037F7C6" w14:textId="77777777" w:rsidTr="00942B67">
        <w:trPr>
          <w:trHeight w:val="272"/>
        </w:trPr>
        <w:tc>
          <w:tcPr>
            <w:tcW w:w="2972" w:type="dxa"/>
            <w:tcBorders>
              <w:right w:val="single" w:sz="4" w:space="0" w:color="auto"/>
            </w:tcBorders>
          </w:tcPr>
          <w:p w14:paraId="05C5CD40" w14:textId="77777777" w:rsidR="00DF4742" w:rsidRPr="00E655EE" w:rsidRDefault="00DF4742" w:rsidP="00E655EE">
            <w:pPr>
              <w:jc w:val="both"/>
              <w:rPr>
                <w:rFonts w:asciiTheme="minorHAnsi" w:hAnsiTheme="minorHAnsi" w:cstheme="minorHAnsi"/>
                <w:sz w:val="18"/>
                <w:szCs w:val="18"/>
                <w:lang w:eastAsia="ja-JP"/>
              </w:rPr>
            </w:pPr>
            <w:r w:rsidRPr="00E655EE">
              <w:rPr>
                <w:rFonts w:asciiTheme="minorHAnsi" w:hAnsiTheme="minorHAnsi" w:cstheme="minorHAnsi"/>
                <w:sz w:val="18"/>
                <w:szCs w:val="18"/>
                <w:lang w:eastAsia="ja-JP"/>
              </w:rPr>
              <w:t xml:space="preserve">Total </w:t>
            </w:r>
            <w:r w:rsidR="009F4FAE">
              <w:rPr>
                <w:rFonts w:asciiTheme="minorHAnsi" w:hAnsiTheme="minorHAnsi" w:cstheme="minorHAnsi"/>
                <w:sz w:val="18"/>
                <w:szCs w:val="18"/>
                <w:lang w:eastAsia="ja-JP"/>
              </w:rPr>
              <w:t xml:space="preserve">non-IFRS </w:t>
            </w:r>
            <w:r w:rsidRPr="00E655EE">
              <w:rPr>
                <w:rFonts w:asciiTheme="minorHAnsi" w:hAnsiTheme="minorHAnsi" w:cstheme="minorHAnsi"/>
                <w:sz w:val="18"/>
                <w:szCs w:val="18"/>
                <w:lang w:eastAsia="ja-JP"/>
              </w:rPr>
              <w:t>Revenue</w:t>
            </w:r>
          </w:p>
        </w:tc>
        <w:tc>
          <w:tcPr>
            <w:tcW w:w="236" w:type="dxa"/>
            <w:tcBorders>
              <w:top w:val="nil"/>
              <w:left w:val="single" w:sz="4" w:space="0" w:color="auto"/>
              <w:bottom w:val="nil"/>
              <w:right w:val="single" w:sz="4" w:space="0" w:color="auto"/>
            </w:tcBorders>
          </w:tcPr>
          <w:p w14:paraId="105FC59A" w14:textId="77777777" w:rsidR="00DF4742" w:rsidRPr="00E655EE" w:rsidRDefault="00DF4742" w:rsidP="00E655EE">
            <w:pPr>
              <w:jc w:val="center"/>
              <w:rPr>
                <w:rFonts w:asciiTheme="minorHAnsi" w:hAnsiTheme="minorHAnsi" w:cstheme="minorHAnsi"/>
                <w:sz w:val="18"/>
                <w:szCs w:val="18"/>
                <w:lang w:eastAsia="ja-JP"/>
              </w:rPr>
            </w:pPr>
          </w:p>
        </w:tc>
        <w:tc>
          <w:tcPr>
            <w:tcW w:w="2835" w:type="dxa"/>
            <w:tcBorders>
              <w:left w:val="single" w:sz="4" w:space="0" w:color="auto"/>
              <w:right w:val="single" w:sz="4" w:space="0" w:color="auto"/>
            </w:tcBorders>
          </w:tcPr>
          <w:p w14:paraId="452C6502" w14:textId="265E1D19" w:rsidR="00DF4742" w:rsidRPr="00DC6907" w:rsidRDefault="00DF4742" w:rsidP="00DC4D47">
            <w:pPr>
              <w:jc w:val="center"/>
              <w:rPr>
                <w:rFonts w:asciiTheme="minorHAnsi" w:hAnsiTheme="minorHAnsi" w:cstheme="minorHAnsi"/>
                <w:sz w:val="18"/>
                <w:szCs w:val="18"/>
                <w:lang w:eastAsia="ja-JP"/>
              </w:rPr>
            </w:pPr>
            <w:r w:rsidRPr="00DC6907">
              <w:rPr>
                <w:rFonts w:asciiTheme="minorHAnsi" w:hAnsiTheme="minorHAnsi" w:cstheme="minorHAnsi"/>
                <w:sz w:val="18"/>
                <w:szCs w:val="18"/>
                <w:lang w:eastAsia="ja-JP"/>
              </w:rPr>
              <w:t>€</w:t>
            </w:r>
            <w:r w:rsidR="00AE6BD8">
              <w:rPr>
                <w:rFonts w:asciiTheme="minorHAnsi" w:hAnsiTheme="minorHAnsi" w:cstheme="minorHAnsi"/>
                <w:sz w:val="18"/>
                <w:szCs w:val="18"/>
                <w:lang w:eastAsia="ja-JP"/>
              </w:rPr>
              <w:t>1.05</w:t>
            </w:r>
            <w:r w:rsidR="00DC4D47">
              <w:rPr>
                <w:rFonts w:asciiTheme="minorHAnsi" w:hAnsiTheme="minorHAnsi" w:cstheme="minorHAnsi"/>
                <w:sz w:val="18"/>
                <w:szCs w:val="18"/>
                <w:lang w:eastAsia="ja-JP"/>
              </w:rPr>
              <w:t xml:space="preserve"> </w:t>
            </w:r>
            <w:r w:rsidRPr="00DC6907">
              <w:rPr>
                <w:rFonts w:asciiTheme="minorHAnsi" w:hAnsiTheme="minorHAnsi" w:cstheme="minorHAnsi"/>
                <w:sz w:val="18"/>
                <w:szCs w:val="18"/>
                <w:lang w:eastAsia="ja-JP"/>
              </w:rPr>
              <w:t>to €</w:t>
            </w:r>
            <w:r w:rsidR="00952C15">
              <w:rPr>
                <w:rFonts w:asciiTheme="minorHAnsi" w:hAnsiTheme="minorHAnsi" w:cstheme="minorHAnsi"/>
                <w:sz w:val="18"/>
                <w:szCs w:val="18"/>
                <w:lang w:eastAsia="ja-JP"/>
              </w:rPr>
              <w:t>1</w:t>
            </w:r>
            <w:r w:rsidR="00607079">
              <w:rPr>
                <w:rFonts w:asciiTheme="minorHAnsi" w:hAnsiTheme="minorHAnsi" w:cstheme="minorHAnsi"/>
                <w:sz w:val="18"/>
                <w:szCs w:val="18"/>
                <w:lang w:eastAsia="ja-JP"/>
              </w:rPr>
              <w:t>.</w:t>
            </w:r>
            <w:r w:rsidR="00AE6BD8">
              <w:rPr>
                <w:rFonts w:asciiTheme="minorHAnsi" w:hAnsiTheme="minorHAnsi" w:cstheme="minorHAnsi"/>
                <w:sz w:val="18"/>
                <w:szCs w:val="18"/>
                <w:lang w:eastAsia="ja-JP"/>
              </w:rPr>
              <w:t>08</w:t>
            </w:r>
            <w:r w:rsidR="00DC4D47" w:rsidRPr="00DC6907">
              <w:rPr>
                <w:rFonts w:asciiTheme="minorHAnsi" w:hAnsiTheme="minorHAnsi" w:cstheme="minorHAnsi"/>
                <w:sz w:val="18"/>
                <w:szCs w:val="18"/>
                <w:lang w:eastAsia="ja-JP"/>
              </w:rPr>
              <w:t xml:space="preserve"> </w:t>
            </w:r>
            <w:r w:rsidR="00D6269F">
              <w:rPr>
                <w:rFonts w:asciiTheme="minorHAnsi" w:hAnsiTheme="minorHAnsi" w:cstheme="minorHAnsi"/>
                <w:sz w:val="18"/>
                <w:szCs w:val="18"/>
                <w:lang w:eastAsia="ja-JP"/>
              </w:rPr>
              <w:t>b</w:t>
            </w:r>
            <w:r w:rsidRPr="00DC6907">
              <w:rPr>
                <w:rFonts w:asciiTheme="minorHAnsi" w:hAnsiTheme="minorHAnsi" w:cstheme="minorHAnsi"/>
                <w:sz w:val="18"/>
                <w:szCs w:val="18"/>
                <w:lang w:eastAsia="ja-JP"/>
              </w:rPr>
              <w:t>illion</w:t>
            </w:r>
          </w:p>
        </w:tc>
        <w:tc>
          <w:tcPr>
            <w:tcW w:w="236" w:type="dxa"/>
            <w:tcBorders>
              <w:top w:val="nil"/>
              <w:left w:val="single" w:sz="4" w:space="0" w:color="auto"/>
              <w:bottom w:val="nil"/>
              <w:right w:val="single" w:sz="4" w:space="0" w:color="auto"/>
            </w:tcBorders>
          </w:tcPr>
          <w:p w14:paraId="532BE32E" w14:textId="77777777" w:rsidR="00DF4742" w:rsidRPr="00DC6907" w:rsidRDefault="00DF4742" w:rsidP="00E655EE">
            <w:pPr>
              <w:jc w:val="center"/>
              <w:rPr>
                <w:rFonts w:asciiTheme="minorHAnsi" w:hAnsiTheme="minorHAnsi" w:cstheme="minorHAnsi"/>
                <w:sz w:val="18"/>
                <w:szCs w:val="18"/>
                <w:lang w:eastAsia="ja-JP"/>
              </w:rPr>
            </w:pPr>
          </w:p>
        </w:tc>
        <w:tc>
          <w:tcPr>
            <w:tcW w:w="3024" w:type="dxa"/>
            <w:tcBorders>
              <w:left w:val="single" w:sz="4" w:space="0" w:color="auto"/>
            </w:tcBorders>
          </w:tcPr>
          <w:p w14:paraId="55B7334D" w14:textId="4DE9DBB1" w:rsidR="00DF4742" w:rsidRPr="00DC6907" w:rsidRDefault="00DF4742" w:rsidP="00DC4D47">
            <w:pPr>
              <w:jc w:val="center"/>
              <w:rPr>
                <w:rFonts w:asciiTheme="minorHAnsi" w:hAnsiTheme="minorHAnsi" w:cstheme="minorHAnsi"/>
                <w:sz w:val="18"/>
                <w:szCs w:val="18"/>
                <w:lang w:eastAsia="ja-JP"/>
              </w:rPr>
            </w:pPr>
            <w:r w:rsidRPr="00DC6907">
              <w:rPr>
                <w:rFonts w:asciiTheme="minorHAnsi" w:hAnsiTheme="minorHAnsi" w:cstheme="minorHAnsi"/>
                <w:sz w:val="18"/>
                <w:szCs w:val="18"/>
                <w:lang w:eastAsia="ja-JP"/>
              </w:rPr>
              <w:t>€</w:t>
            </w:r>
            <w:r w:rsidR="0038280C">
              <w:rPr>
                <w:rFonts w:asciiTheme="minorHAnsi" w:hAnsiTheme="minorHAnsi" w:cstheme="minorHAnsi"/>
                <w:sz w:val="18"/>
                <w:szCs w:val="18"/>
                <w:lang w:eastAsia="ja-JP"/>
              </w:rPr>
              <w:t>4</w:t>
            </w:r>
            <w:r w:rsidR="00607079">
              <w:rPr>
                <w:rFonts w:asciiTheme="minorHAnsi" w:hAnsiTheme="minorHAnsi" w:cstheme="minorHAnsi"/>
                <w:sz w:val="18"/>
                <w:szCs w:val="18"/>
                <w:lang w:eastAsia="ja-JP"/>
              </w:rPr>
              <w:t>.</w:t>
            </w:r>
            <w:r w:rsidR="007376A6">
              <w:rPr>
                <w:rFonts w:asciiTheme="minorHAnsi" w:hAnsiTheme="minorHAnsi" w:cstheme="minorHAnsi"/>
                <w:sz w:val="18"/>
                <w:szCs w:val="18"/>
                <w:lang w:eastAsia="ja-JP"/>
              </w:rPr>
              <w:t>51</w:t>
            </w:r>
            <w:r w:rsidR="00DC4D47" w:rsidRPr="00DC6907">
              <w:rPr>
                <w:rFonts w:asciiTheme="minorHAnsi" w:hAnsiTheme="minorHAnsi" w:cstheme="minorHAnsi"/>
                <w:sz w:val="18"/>
                <w:szCs w:val="18"/>
                <w:lang w:eastAsia="ja-JP"/>
              </w:rPr>
              <w:t xml:space="preserve"> </w:t>
            </w:r>
            <w:r w:rsidR="0038280C">
              <w:rPr>
                <w:rFonts w:asciiTheme="minorHAnsi" w:hAnsiTheme="minorHAnsi" w:cstheme="minorHAnsi"/>
                <w:sz w:val="18"/>
                <w:szCs w:val="18"/>
                <w:lang w:eastAsia="ja-JP"/>
              </w:rPr>
              <w:t>to €4</w:t>
            </w:r>
            <w:r w:rsidR="00607079">
              <w:rPr>
                <w:rFonts w:asciiTheme="minorHAnsi" w:hAnsiTheme="minorHAnsi" w:cstheme="minorHAnsi"/>
                <w:sz w:val="18"/>
                <w:szCs w:val="18"/>
                <w:lang w:eastAsia="ja-JP"/>
              </w:rPr>
              <w:t>.</w:t>
            </w:r>
            <w:r w:rsidR="007376A6">
              <w:rPr>
                <w:rFonts w:asciiTheme="minorHAnsi" w:hAnsiTheme="minorHAnsi" w:cstheme="minorHAnsi"/>
                <w:sz w:val="18"/>
                <w:szCs w:val="18"/>
                <w:lang w:eastAsia="ja-JP"/>
              </w:rPr>
              <w:t>56</w:t>
            </w:r>
            <w:r w:rsidR="00DC4D47" w:rsidRPr="00DC6907">
              <w:rPr>
                <w:rFonts w:asciiTheme="minorHAnsi" w:hAnsiTheme="minorHAnsi" w:cstheme="minorHAnsi"/>
                <w:sz w:val="18"/>
                <w:szCs w:val="18"/>
                <w:lang w:eastAsia="ja-JP"/>
              </w:rPr>
              <w:t xml:space="preserve"> </w:t>
            </w:r>
            <w:r w:rsidRPr="00DC6907">
              <w:rPr>
                <w:rFonts w:asciiTheme="minorHAnsi" w:hAnsiTheme="minorHAnsi" w:cstheme="minorHAnsi"/>
                <w:sz w:val="18"/>
                <w:szCs w:val="18"/>
                <w:lang w:eastAsia="ja-JP"/>
              </w:rPr>
              <w:t>billion</w:t>
            </w:r>
          </w:p>
        </w:tc>
      </w:tr>
      <w:tr w:rsidR="00DF4742" w:rsidRPr="00E655EE" w14:paraId="038074DE" w14:textId="77777777" w:rsidTr="00942B67">
        <w:trPr>
          <w:trHeight w:val="272"/>
        </w:trPr>
        <w:tc>
          <w:tcPr>
            <w:tcW w:w="2972" w:type="dxa"/>
            <w:tcBorders>
              <w:right w:val="single" w:sz="4" w:space="0" w:color="auto"/>
            </w:tcBorders>
            <w:vAlign w:val="center"/>
          </w:tcPr>
          <w:p w14:paraId="2E2948DD" w14:textId="77777777" w:rsidR="00DF4742" w:rsidRPr="00E655EE" w:rsidRDefault="00DF4742" w:rsidP="00E655EE">
            <w:pPr>
              <w:rPr>
                <w:rFonts w:asciiTheme="minorHAnsi" w:hAnsiTheme="minorHAnsi" w:cstheme="minorHAnsi"/>
                <w:sz w:val="18"/>
                <w:szCs w:val="18"/>
                <w:lang w:eastAsia="ja-JP"/>
              </w:rPr>
            </w:pPr>
            <w:r w:rsidRPr="00E655EE">
              <w:rPr>
                <w:rFonts w:asciiTheme="minorHAnsi" w:hAnsiTheme="minorHAnsi" w:cstheme="minorHAnsi"/>
                <w:sz w:val="18"/>
                <w:szCs w:val="18"/>
                <w:lang w:eastAsia="ja-JP"/>
              </w:rPr>
              <w:t>Growth in Constant Currencies</w:t>
            </w:r>
          </w:p>
        </w:tc>
        <w:tc>
          <w:tcPr>
            <w:tcW w:w="236" w:type="dxa"/>
            <w:tcBorders>
              <w:top w:val="nil"/>
              <w:left w:val="single" w:sz="4" w:space="0" w:color="auto"/>
              <w:bottom w:val="nil"/>
              <w:right w:val="single" w:sz="4" w:space="0" w:color="auto"/>
            </w:tcBorders>
          </w:tcPr>
          <w:p w14:paraId="00DD095A" w14:textId="77777777" w:rsidR="00DF4742" w:rsidRPr="00E655EE" w:rsidRDefault="00DF4742" w:rsidP="00E655EE">
            <w:pPr>
              <w:jc w:val="center"/>
              <w:rPr>
                <w:rFonts w:asciiTheme="minorHAnsi" w:hAnsiTheme="minorHAnsi" w:cstheme="minorHAnsi"/>
                <w:sz w:val="18"/>
                <w:szCs w:val="18"/>
                <w:lang w:eastAsia="ja-JP"/>
              </w:rPr>
            </w:pPr>
          </w:p>
        </w:tc>
        <w:tc>
          <w:tcPr>
            <w:tcW w:w="2835" w:type="dxa"/>
            <w:tcBorders>
              <w:left w:val="single" w:sz="4" w:space="0" w:color="auto"/>
              <w:right w:val="single" w:sz="4" w:space="0" w:color="auto"/>
            </w:tcBorders>
            <w:vAlign w:val="center"/>
          </w:tcPr>
          <w:p w14:paraId="3ABC649D" w14:textId="68DFBFCA" w:rsidR="00DF4742" w:rsidRPr="00DC6907" w:rsidRDefault="00090EF9" w:rsidP="00E63E31">
            <w:pPr>
              <w:jc w:val="center"/>
              <w:rPr>
                <w:rFonts w:asciiTheme="minorHAnsi" w:hAnsiTheme="minorHAnsi" w:cstheme="minorHAnsi"/>
                <w:sz w:val="18"/>
                <w:szCs w:val="18"/>
                <w:lang w:eastAsia="ja-JP"/>
              </w:rPr>
            </w:pPr>
            <w:r w:rsidRPr="00DC6907">
              <w:rPr>
                <w:rFonts w:asciiTheme="minorHAnsi" w:hAnsiTheme="minorHAnsi" w:cstheme="minorHAnsi"/>
                <w:sz w:val="18"/>
                <w:szCs w:val="18"/>
                <w:lang w:eastAsia="ja-JP"/>
              </w:rPr>
              <w:t>+</w:t>
            </w:r>
            <w:r w:rsidR="00AE6BD8">
              <w:rPr>
                <w:rFonts w:asciiTheme="minorHAnsi" w:hAnsiTheme="minorHAnsi" w:cstheme="minorHAnsi"/>
                <w:sz w:val="18"/>
                <w:szCs w:val="18"/>
                <w:lang w:eastAsia="ja-JP"/>
              </w:rPr>
              <w:t>18</w:t>
            </w:r>
            <w:r w:rsidR="00DF4742" w:rsidRPr="00DC6907">
              <w:rPr>
                <w:rFonts w:asciiTheme="minorHAnsi" w:hAnsiTheme="minorHAnsi" w:cstheme="minorHAnsi"/>
                <w:sz w:val="18"/>
                <w:szCs w:val="18"/>
                <w:lang w:eastAsia="ja-JP"/>
              </w:rPr>
              <w:t xml:space="preserve">% to </w:t>
            </w:r>
            <w:r w:rsidRPr="00DC6907">
              <w:rPr>
                <w:rFonts w:asciiTheme="minorHAnsi" w:hAnsiTheme="minorHAnsi" w:cstheme="minorHAnsi"/>
                <w:sz w:val="18"/>
                <w:szCs w:val="18"/>
                <w:lang w:eastAsia="ja-JP"/>
              </w:rPr>
              <w:t>+</w:t>
            </w:r>
            <w:r w:rsidR="00AE6BD8">
              <w:rPr>
                <w:rFonts w:asciiTheme="minorHAnsi" w:hAnsiTheme="minorHAnsi" w:cstheme="minorHAnsi"/>
                <w:sz w:val="18"/>
                <w:szCs w:val="18"/>
                <w:lang w:eastAsia="ja-JP"/>
              </w:rPr>
              <w:t>21</w:t>
            </w:r>
            <w:r w:rsidR="00DF4742" w:rsidRPr="00DC6907">
              <w:rPr>
                <w:rFonts w:asciiTheme="minorHAnsi" w:hAnsiTheme="minorHAnsi" w:cstheme="minorHAnsi"/>
                <w:sz w:val="18"/>
                <w:szCs w:val="18"/>
                <w:lang w:eastAsia="ja-JP"/>
              </w:rPr>
              <w:t>%</w:t>
            </w:r>
          </w:p>
        </w:tc>
        <w:tc>
          <w:tcPr>
            <w:tcW w:w="236" w:type="dxa"/>
            <w:tcBorders>
              <w:top w:val="nil"/>
              <w:left w:val="single" w:sz="4" w:space="0" w:color="auto"/>
              <w:bottom w:val="nil"/>
              <w:right w:val="single" w:sz="4" w:space="0" w:color="auto"/>
            </w:tcBorders>
          </w:tcPr>
          <w:p w14:paraId="686CA73C" w14:textId="77777777" w:rsidR="00DF4742" w:rsidRPr="00DC6907" w:rsidRDefault="00DF4742" w:rsidP="00E655EE">
            <w:pPr>
              <w:jc w:val="center"/>
              <w:rPr>
                <w:rFonts w:asciiTheme="minorHAnsi" w:hAnsiTheme="minorHAnsi" w:cstheme="minorHAnsi"/>
                <w:sz w:val="18"/>
                <w:szCs w:val="18"/>
                <w:lang w:eastAsia="ja-JP"/>
              </w:rPr>
            </w:pPr>
          </w:p>
        </w:tc>
        <w:tc>
          <w:tcPr>
            <w:tcW w:w="3024" w:type="dxa"/>
            <w:tcBorders>
              <w:left w:val="single" w:sz="4" w:space="0" w:color="auto"/>
            </w:tcBorders>
            <w:vAlign w:val="center"/>
          </w:tcPr>
          <w:p w14:paraId="2B58AA0D" w14:textId="5C5E5C2D" w:rsidR="00DF4742" w:rsidRPr="00DC6907" w:rsidRDefault="0075359F" w:rsidP="00E63E31">
            <w:pPr>
              <w:jc w:val="center"/>
              <w:rPr>
                <w:rFonts w:asciiTheme="minorHAnsi" w:hAnsiTheme="minorHAnsi" w:cstheme="minorHAnsi"/>
                <w:sz w:val="18"/>
                <w:szCs w:val="18"/>
                <w:lang w:eastAsia="ja-JP"/>
              </w:rPr>
            </w:pPr>
            <w:r w:rsidRPr="00DC6907">
              <w:rPr>
                <w:rFonts w:asciiTheme="minorHAnsi" w:hAnsiTheme="minorHAnsi" w:cstheme="minorHAnsi"/>
                <w:sz w:val="18"/>
                <w:szCs w:val="18"/>
                <w:lang w:eastAsia="ja-JP"/>
              </w:rPr>
              <w:t>+</w:t>
            </w:r>
            <w:r w:rsidR="00E63E31">
              <w:rPr>
                <w:rFonts w:asciiTheme="minorHAnsi" w:hAnsiTheme="minorHAnsi" w:cstheme="minorHAnsi"/>
                <w:sz w:val="18"/>
                <w:szCs w:val="18"/>
                <w:lang w:eastAsia="ja-JP"/>
              </w:rPr>
              <w:t>12</w:t>
            </w:r>
            <w:r w:rsidR="00DF4742" w:rsidRPr="00DC6907">
              <w:rPr>
                <w:rFonts w:asciiTheme="minorHAnsi" w:hAnsiTheme="minorHAnsi" w:cstheme="minorHAnsi"/>
                <w:sz w:val="18"/>
                <w:szCs w:val="18"/>
                <w:lang w:eastAsia="ja-JP"/>
              </w:rPr>
              <w:t xml:space="preserve">% to </w:t>
            </w:r>
            <w:r w:rsidRPr="00DC6907">
              <w:rPr>
                <w:rFonts w:asciiTheme="minorHAnsi" w:hAnsiTheme="minorHAnsi" w:cstheme="minorHAnsi"/>
                <w:sz w:val="18"/>
                <w:szCs w:val="18"/>
                <w:lang w:eastAsia="ja-JP"/>
              </w:rPr>
              <w:t>+</w:t>
            </w:r>
            <w:r w:rsidR="00E63E31">
              <w:rPr>
                <w:rFonts w:asciiTheme="minorHAnsi" w:hAnsiTheme="minorHAnsi" w:cstheme="minorHAnsi"/>
                <w:sz w:val="18"/>
                <w:szCs w:val="18"/>
                <w:lang w:eastAsia="ja-JP"/>
              </w:rPr>
              <w:t>13</w:t>
            </w:r>
            <w:r w:rsidR="00DF4742" w:rsidRPr="00DC6907">
              <w:rPr>
                <w:rFonts w:asciiTheme="minorHAnsi" w:hAnsiTheme="minorHAnsi" w:cstheme="minorHAnsi"/>
                <w:sz w:val="18"/>
                <w:szCs w:val="18"/>
                <w:lang w:eastAsia="ja-JP"/>
              </w:rPr>
              <w:t>%</w:t>
            </w:r>
          </w:p>
        </w:tc>
      </w:tr>
      <w:tr w:rsidR="00DF4742" w:rsidRPr="00E655EE" w14:paraId="541789C6" w14:textId="77777777" w:rsidTr="00942B67">
        <w:trPr>
          <w:trHeight w:val="272"/>
        </w:trPr>
        <w:tc>
          <w:tcPr>
            <w:tcW w:w="2972" w:type="dxa"/>
            <w:tcBorders>
              <w:right w:val="single" w:sz="4" w:space="0" w:color="auto"/>
            </w:tcBorders>
            <w:vAlign w:val="center"/>
          </w:tcPr>
          <w:p w14:paraId="72100857" w14:textId="77777777" w:rsidR="00DF4742" w:rsidRPr="00E655EE" w:rsidRDefault="00DF4742" w:rsidP="0038280C">
            <w:pPr>
              <w:rPr>
                <w:rFonts w:asciiTheme="minorHAnsi" w:hAnsiTheme="minorHAnsi" w:cstheme="minorHAnsi"/>
                <w:sz w:val="18"/>
                <w:szCs w:val="18"/>
                <w:lang w:eastAsia="ja-JP"/>
              </w:rPr>
            </w:pPr>
            <w:r w:rsidRPr="00E655EE">
              <w:rPr>
                <w:rFonts w:asciiTheme="minorHAnsi" w:hAnsiTheme="minorHAnsi" w:cstheme="minorHAnsi"/>
                <w:sz w:val="18"/>
                <w:szCs w:val="18"/>
                <w:lang w:eastAsia="ja-JP"/>
              </w:rPr>
              <w:t>Non-IFRS operating Margin</w:t>
            </w:r>
          </w:p>
        </w:tc>
        <w:tc>
          <w:tcPr>
            <w:tcW w:w="236" w:type="dxa"/>
            <w:tcBorders>
              <w:top w:val="nil"/>
              <w:left w:val="single" w:sz="4" w:space="0" w:color="auto"/>
              <w:bottom w:val="nil"/>
              <w:right w:val="single" w:sz="4" w:space="0" w:color="auto"/>
            </w:tcBorders>
          </w:tcPr>
          <w:p w14:paraId="6C1CEB70" w14:textId="77777777" w:rsidR="00DF4742" w:rsidRPr="00E655EE" w:rsidRDefault="00DF4742" w:rsidP="00E655EE">
            <w:pPr>
              <w:jc w:val="center"/>
              <w:rPr>
                <w:rFonts w:asciiTheme="minorHAnsi" w:hAnsiTheme="minorHAnsi" w:cstheme="minorHAnsi"/>
                <w:sz w:val="18"/>
                <w:szCs w:val="18"/>
                <w:lang w:eastAsia="ja-JP"/>
              </w:rPr>
            </w:pPr>
          </w:p>
        </w:tc>
        <w:tc>
          <w:tcPr>
            <w:tcW w:w="2835" w:type="dxa"/>
            <w:tcBorders>
              <w:left w:val="single" w:sz="4" w:space="0" w:color="auto"/>
              <w:right w:val="single" w:sz="4" w:space="0" w:color="auto"/>
            </w:tcBorders>
            <w:vAlign w:val="center"/>
          </w:tcPr>
          <w:p w14:paraId="2C810F04" w14:textId="53A0C78F" w:rsidR="00DF4742" w:rsidRPr="00DC6907" w:rsidRDefault="00AE6BD8" w:rsidP="00DC4D47">
            <w:pPr>
              <w:jc w:val="center"/>
              <w:rPr>
                <w:rFonts w:asciiTheme="minorHAnsi" w:hAnsiTheme="minorHAnsi" w:cstheme="minorHAnsi"/>
                <w:sz w:val="18"/>
                <w:szCs w:val="18"/>
                <w:lang w:eastAsia="ja-JP"/>
              </w:rPr>
            </w:pPr>
            <w:r>
              <w:rPr>
                <w:rFonts w:asciiTheme="minorHAnsi" w:hAnsiTheme="minorHAnsi" w:cstheme="minorHAnsi"/>
                <w:sz w:val="18"/>
                <w:szCs w:val="18"/>
                <w:lang w:eastAsia="ja-JP"/>
              </w:rPr>
              <w:t>26.0</w:t>
            </w:r>
            <w:r w:rsidR="00EA7D3D">
              <w:rPr>
                <w:rFonts w:asciiTheme="minorHAnsi" w:hAnsiTheme="minorHAnsi" w:cstheme="minorHAnsi"/>
                <w:sz w:val="18"/>
                <w:szCs w:val="18"/>
                <w:lang w:eastAsia="ja-JP"/>
              </w:rPr>
              <w:t>%</w:t>
            </w:r>
            <w:r w:rsidR="00E92031">
              <w:rPr>
                <w:rFonts w:asciiTheme="minorHAnsi" w:hAnsiTheme="minorHAnsi" w:cstheme="minorHAnsi"/>
                <w:sz w:val="18"/>
                <w:szCs w:val="18"/>
                <w:lang w:eastAsia="ja-JP"/>
              </w:rPr>
              <w:t xml:space="preserve"> to </w:t>
            </w:r>
            <w:r>
              <w:rPr>
                <w:rFonts w:asciiTheme="minorHAnsi" w:hAnsiTheme="minorHAnsi" w:cstheme="minorHAnsi"/>
                <w:sz w:val="18"/>
                <w:szCs w:val="18"/>
                <w:lang w:eastAsia="ja-JP"/>
              </w:rPr>
              <w:t>26.5</w:t>
            </w:r>
            <w:r w:rsidR="00DC4D47">
              <w:rPr>
                <w:rFonts w:asciiTheme="minorHAnsi" w:hAnsiTheme="minorHAnsi" w:cstheme="minorHAnsi"/>
                <w:sz w:val="18"/>
                <w:szCs w:val="18"/>
                <w:lang w:eastAsia="ja-JP"/>
              </w:rPr>
              <w:t>%</w:t>
            </w:r>
          </w:p>
        </w:tc>
        <w:tc>
          <w:tcPr>
            <w:tcW w:w="236" w:type="dxa"/>
            <w:tcBorders>
              <w:top w:val="nil"/>
              <w:left w:val="single" w:sz="4" w:space="0" w:color="auto"/>
              <w:bottom w:val="nil"/>
              <w:right w:val="single" w:sz="4" w:space="0" w:color="auto"/>
            </w:tcBorders>
          </w:tcPr>
          <w:p w14:paraId="6E29D282" w14:textId="77777777" w:rsidR="00DF4742" w:rsidRPr="00DC6907" w:rsidRDefault="00DF4742" w:rsidP="00E655EE">
            <w:pPr>
              <w:jc w:val="center"/>
              <w:rPr>
                <w:rFonts w:asciiTheme="minorHAnsi" w:hAnsiTheme="minorHAnsi" w:cstheme="minorHAnsi"/>
                <w:sz w:val="18"/>
                <w:szCs w:val="18"/>
                <w:lang w:eastAsia="ja-JP"/>
              </w:rPr>
            </w:pPr>
          </w:p>
        </w:tc>
        <w:tc>
          <w:tcPr>
            <w:tcW w:w="3024" w:type="dxa"/>
            <w:tcBorders>
              <w:left w:val="single" w:sz="4" w:space="0" w:color="auto"/>
            </w:tcBorders>
            <w:vAlign w:val="center"/>
          </w:tcPr>
          <w:p w14:paraId="557DBF0F" w14:textId="2860C404" w:rsidR="00DF4742" w:rsidRPr="00DC6907" w:rsidRDefault="007376A6" w:rsidP="00DC4D47">
            <w:pPr>
              <w:jc w:val="center"/>
              <w:rPr>
                <w:rFonts w:asciiTheme="minorHAnsi" w:hAnsiTheme="minorHAnsi" w:cstheme="minorHAnsi"/>
                <w:sz w:val="18"/>
                <w:szCs w:val="18"/>
                <w:lang w:eastAsia="ja-JP"/>
              </w:rPr>
            </w:pPr>
            <w:r>
              <w:rPr>
                <w:rFonts w:asciiTheme="minorHAnsi" w:hAnsiTheme="minorHAnsi" w:cstheme="minorHAnsi"/>
                <w:sz w:val="18"/>
                <w:szCs w:val="18"/>
                <w:lang w:eastAsia="ja-JP"/>
              </w:rPr>
              <w:t>29.3</w:t>
            </w:r>
            <w:r w:rsidR="0038280C">
              <w:rPr>
                <w:rFonts w:asciiTheme="minorHAnsi" w:hAnsiTheme="minorHAnsi" w:cstheme="minorHAnsi"/>
                <w:sz w:val="18"/>
                <w:szCs w:val="18"/>
                <w:lang w:eastAsia="ja-JP"/>
              </w:rPr>
              <w:t>%</w:t>
            </w:r>
            <w:r>
              <w:rPr>
                <w:rFonts w:asciiTheme="minorHAnsi" w:hAnsiTheme="minorHAnsi" w:cstheme="minorHAnsi"/>
                <w:sz w:val="18"/>
                <w:szCs w:val="18"/>
                <w:lang w:eastAsia="ja-JP"/>
              </w:rPr>
              <w:t xml:space="preserve"> to 29.4%</w:t>
            </w:r>
          </w:p>
        </w:tc>
      </w:tr>
      <w:tr w:rsidR="00DF4742" w:rsidRPr="00E655EE" w14:paraId="0C236748" w14:textId="77777777" w:rsidTr="00942B67">
        <w:trPr>
          <w:trHeight w:val="272"/>
        </w:trPr>
        <w:tc>
          <w:tcPr>
            <w:tcW w:w="2972" w:type="dxa"/>
            <w:tcBorders>
              <w:right w:val="single" w:sz="4" w:space="0" w:color="auto"/>
            </w:tcBorders>
            <w:vAlign w:val="center"/>
          </w:tcPr>
          <w:p w14:paraId="260D5D47" w14:textId="77777777" w:rsidR="00DF4742" w:rsidRPr="00E655EE" w:rsidRDefault="00DF4742" w:rsidP="0038280C">
            <w:pPr>
              <w:rPr>
                <w:rFonts w:asciiTheme="minorHAnsi" w:hAnsiTheme="minorHAnsi" w:cstheme="minorHAnsi"/>
                <w:sz w:val="18"/>
                <w:szCs w:val="18"/>
                <w:lang w:eastAsia="ja-JP"/>
              </w:rPr>
            </w:pPr>
            <w:r w:rsidRPr="00E655EE">
              <w:rPr>
                <w:rFonts w:asciiTheme="minorHAnsi" w:hAnsiTheme="minorHAnsi" w:cstheme="minorHAnsi"/>
                <w:sz w:val="18"/>
                <w:szCs w:val="18"/>
                <w:lang w:eastAsia="ja-JP"/>
              </w:rPr>
              <w:t>Non-IFRS EPS</w:t>
            </w:r>
          </w:p>
        </w:tc>
        <w:tc>
          <w:tcPr>
            <w:tcW w:w="236" w:type="dxa"/>
            <w:tcBorders>
              <w:top w:val="nil"/>
              <w:left w:val="single" w:sz="4" w:space="0" w:color="auto"/>
              <w:bottom w:val="nil"/>
              <w:right w:val="single" w:sz="4" w:space="0" w:color="auto"/>
            </w:tcBorders>
          </w:tcPr>
          <w:p w14:paraId="69C0394B" w14:textId="77777777" w:rsidR="00DF4742" w:rsidRPr="00E655EE" w:rsidRDefault="00DF4742" w:rsidP="00E655EE">
            <w:pPr>
              <w:jc w:val="center"/>
              <w:rPr>
                <w:rFonts w:asciiTheme="minorHAnsi" w:hAnsiTheme="minorHAnsi" w:cstheme="minorHAnsi"/>
                <w:sz w:val="18"/>
                <w:szCs w:val="18"/>
                <w:lang w:eastAsia="ja-JP"/>
              </w:rPr>
            </w:pPr>
          </w:p>
        </w:tc>
        <w:tc>
          <w:tcPr>
            <w:tcW w:w="2835" w:type="dxa"/>
            <w:tcBorders>
              <w:left w:val="single" w:sz="4" w:space="0" w:color="auto"/>
              <w:right w:val="single" w:sz="4" w:space="0" w:color="auto"/>
            </w:tcBorders>
            <w:vAlign w:val="center"/>
          </w:tcPr>
          <w:p w14:paraId="0E62DD8C" w14:textId="43C7510D" w:rsidR="00DF4742" w:rsidRPr="00DC6907" w:rsidRDefault="00DF4742" w:rsidP="00DC4D47">
            <w:pPr>
              <w:jc w:val="center"/>
              <w:rPr>
                <w:rFonts w:asciiTheme="minorHAnsi" w:hAnsiTheme="minorHAnsi" w:cstheme="minorHAnsi"/>
                <w:sz w:val="18"/>
                <w:szCs w:val="18"/>
                <w:lang w:eastAsia="ja-JP"/>
              </w:rPr>
            </w:pPr>
            <w:r w:rsidRPr="00DC6907">
              <w:rPr>
                <w:rFonts w:asciiTheme="minorHAnsi" w:hAnsiTheme="minorHAnsi" w:cstheme="minorHAnsi"/>
                <w:sz w:val="18"/>
                <w:szCs w:val="18"/>
                <w:lang w:eastAsia="ja-JP"/>
              </w:rPr>
              <w:t>€</w:t>
            </w:r>
            <w:r w:rsidR="00AE6BD8">
              <w:rPr>
                <w:rFonts w:asciiTheme="minorHAnsi" w:hAnsiTheme="minorHAnsi" w:cstheme="minorHAnsi"/>
                <w:sz w:val="18"/>
                <w:szCs w:val="18"/>
                <w:lang w:eastAsia="ja-JP"/>
              </w:rPr>
              <w:t>0.75</w:t>
            </w:r>
            <w:r w:rsidRPr="00DC6907">
              <w:rPr>
                <w:rFonts w:asciiTheme="minorHAnsi" w:hAnsiTheme="minorHAnsi" w:cstheme="minorHAnsi"/>
                <w:sz w:val="18"/>
                <w:szCs w:val="18"/>
                <w:lang w:eastAsia="ja-JP"/>
              </w:rPr>
              <w:t xml:space="preserve"> to €</w:t>
            </w:r>
            <w:r w:rsidR="00AE6BD8">
              <w:rPr>
                <w:rFonts w:asciiTheme="minorHAnsi" w:hAnsiTheme="minorHAnsi" w:cstheme="minorHAnsi"/>
                <w:sz w:val="18"/>
                <w:szCs w:val="18"/>
                <w:lang w:eastAsia="ja-JP"/>
              </w:rPr>
              <w:t>0.80</w:t>
            </w:r>
          </w:p>
        </w:tc>
        <w:tc>
          <w:tcPr>
            <w:tcW w:w="236" w:type="dxa"/>
            <w:tcBorders>
              <w:top w:val="nil"/>
              <w:left w:val="single" w:sz="4" w:space="0" w:color="auto"/>
              <w:bottom w:val="nil"/>
              <w:right w:val="single" w:sz="4" w:space="0" w:color="auto"/>
            </w:tcBorders>
          </w:tcPr>
          <w:p w14:paraId="01D9FB89" w14:textId="77777777" w:rsidR="00DF4742" w:rsidRPr="00DC6907" w:rsidRDefault="00DF4742" w:rsidP="00E655EE">
            <w:pPr>
              <w:jc w:val="center"/>
              <w:rPr>
                <w:rFonts w:asciiTheme="minorHAnsi" w:hAnsiTheme="minorHAnsi" w:cstheme="minorHAnsi"/>
                <w:sz w:val="18"/>
                <w:szCs w:val="18"/>
                <w:lang w:eastAsia="ja-JP"/>
              </w:rPr>
            </w:pPr>
          </w:p>
        </w:tc>
        <w:tc>
          <w:tcPr>
            <w:tcW w:w="3024" w:type="dxa"/>
            <w:tcBorders>
              <w:left w:val="single" w:sz="4" w:space="0" w:color="auto"/>
            </w:tcBorders>
            <w:vAlign w:val="center"/>
          </w:tcPr>
          <w:p w14:paraId="229368AD" w14:textId="6710DC2C" w:rsidR="00DF4742" w:rsidRPr="00DC6907" w:rsidRDefault="00DF4742" w:rsidP="00DC4D47">
            <w:pPr>
              <w:jc w:val="center"/>
              <w:rPr>
                <w:rFonts w:asciiTheme="minorHAnsi" w:hAnsiTheme="minorHAnsi" w:cstheme="minorHAnsi"/>
                <w:sz w:val="18"/>
                <w:szCs w:val="18"/>
                <w:lang w:eastAsia="ja-JP"/>
              </w:rPr>
            </w:pPr>
            <w:r w:rsidRPr="00DC6907">
              <w:rPr>
                <w:rFonts w:asciiTheme="minorHAnsi" w:hAnsiTheme="minorHAnsi" w:cstheme="minorHAnsi"/>
                <w:sz w:val="18"/>
                <w:szCs w:val="18"/>
                <w:lang w:eastAsia="ja-JP"/>
              </w:rPr>
              <w:t>€</w:t>
            </w:r>
            <w:r w:rsidR="007376A6">
              <w:rPr>
                <w:rFonts w:asciiTheme="minorHAnsi" w:hAnsiTheme="minorHAnsi" w:cstheme="minorHAnsi"/>
                <w:sz w:val="18"/>
                <w:szCs w:val="18"/>
                <w:lang w:eastAsia="ja-JP"/>
              </w:rPr>
              <w:t>3.70</w:t>
            </w:r>
            <w:r w:rsidR="00DC4D47" w:rsidRPr="00DC6907">
              <w:rPr>
                <w:rFonts w:asciiTheme="minorHAnsi" w:hAnsiTheme="minorHAnsi" w:cstheme="minorHAnsi"/>
                <w:sz w:val="18"/>
                <w:szCs w:val="18"/>
                <w:lang w:eastAsia="ja-JP"/>
              </w:rPr>
              <w:t xml:space="preserve"> </w:t>
            </w:r>
            <w:r w:rsidRPr="00DC6907">
              <w:rPr>
                <w:rFonts w:asciiTheme="minorHAnsi" w:hAnsiTheme="minorHAnsi" w:cstheme="minorHAnsi"/>
                <w:sz w:val="18"/>
                <w:szCs w:val="18"/>
                <w:lang w:eastAsia="ja-JP"/>
              </w:rPr>
              <w:t>to €</w:t>
            </w:r>
            <w:r w:rsidR="007376A6">
              <w:rPr>
                <w:rFonts w:asciiTheme="minorHAnsi" w:hAnsiTheme="minorHAnsi" w:cstheme="minorHAnsi"/>
                <w:sz w:val="18"/>
                <w:szCs w:val="18"/>
                <w:lang w:eastAsia="ja-JP"/>
              </w:rPr>
              <w:t>3.75</w:t>
            </w:r>
          </w:p>
        </w:tc>
      </w:tr>
      <w:tr w:rsidR="00DF4742" w:rsidRPr="00E655EE" w14:paraId="7CF0CC5A" w14:textId="77777777" w:rsidTr="00942B67">
        <w:trPr>
          <w:trHeight w:val="272"/>
        </w:trPr>
        <w:tc>
          <w:tcPr>
            <w:tcW w:w="2972" w:type="dxa"/>
            <w:tcBorders>
              <w:right w:val="single" w:sz="4" w:space="0" w:color="auto"/>
            </w:tcBorders>
            <w:vAlign w:val="center"/>
          </w:tcPr>
          <w:p w14:paraId="453DE2A3" w14:textId="77777777" w:rsidR="00DF4742" w:rsidRPr="00E655EE" w:rsidRDefault="0077253A" w:rsidP="00E655EE">
            <w:pPr>
              <w:rPr>
                <w:rFonts w:asciiTheme="minorHAnsi" w:hAnsiTheme="minorHAnsi" w:cstheme="minorHAnsi"/>
                <w:sz w:val="18"/>
                <w:szCs w:val="18"/>
                <w:lang w:eastAsia="ja-JP"/>
              </w:rPr>
            </w:pPr>
            <w:r>
              <w:rPr>
                <w:rFonts w:asciiTheme="minorHAnsi" w:hAnsiTheme="minorHAnsi" w:cstheme="minorHAnsi"/>
                <w:sz w:val="18"/>
                <w:szCs w:val="18"/>
                <w:lang w:eastAsia="ja-JP"/>
              </w:rPr>
              <w:t xml:space="preserve">Non-IFRS </w:t>
            </w:r>
            <w:r w:rsidR="00DF4742" w:rsidRPr="00E655EE">
              <w:rPr>
                <w:rFonts w:asciiTheme="minorHAnsi" w:hAnsiTheme="minorHAnsi" w:cstheme="minorHAnsi"/>
                <w:sz w:val="18"/>
                <w:szCs w:val="18"/>
                <w:lang w:eastAsia="ja-JP"/>
              </w:rPr>
              <w:t>EPS Growth</w:t>
            </w:r>
          </w:p>
        </w:tc>
        <w:tc>
          <w:tcPr>
            <w:tcW w:w="236" w:type="dxa"/>
            <w:tcBorders>
              <w:top w:val="nil"/>
              <w:left w:val="single" w:sz="4" w:space="0" w:color="auto"/>
              <w:bottom w:val="nil"/>
              <w:right w:val="single" w:sz="4" w:space="0" w:color="auto"/>
            </w:tcBorders>
          </w:tcPr>
          <w:p w14:paraId="722C6ADE" w14:textId="77777777" w:rsidR="00DF4742" w:rsidRPr="00E655EE" w:rsidRDefault="00DF4742" w:rsidP="00E655EE">
            <w:pPr>
              <w:jc w:val="center"/>
              <w:rPr>
                <w:rFonts w:asciiTheme="minorHAnsi" w:hAnsiTheme="minorHAnsi" w:cstheme="minorHAnsi"/>
                <w:sz w:val="18"/>
                <w:szCs w:val="18"/>
                <w:lang w:eastAsia="ja-JP"/>
              </w:rPr>
            </w:pPr>
          </w:p>
        </w:tc>
        <w:tc>
          <w:tcPr>
            <w:tcW w:w="2835" w:type="dxa"/>
            <w:tcBorders>
              <w:left w:val="single" w:sz="4" w:space="0" w:color="auto"/>
              <w:right w:val="single" w:sz="4" w:space="0" w:color="auto"/>
            </w:tcBorders>
            <w:vAlign w:val="center"/>
          </w:tcPr>
          <w:p w14:paraId="2D0CB6D1" w14:textId="0CF61971" w:rsidR="00DF4742" w:rsidRPr="00942B67" w:rsidRDefault="00EA7D3D" w:rsidP="00AE6BD8">
            <w:pPr>
              <w:jc w:val="center"/>
              <w:rPr>
                <w:rFonts w:asciiTheme="minorHAnsi" w:hAnsiTheme="minorHAnsi" w:cstheme="minorHAnsi"/>
                <w:sz w:val="18"/>
                <w:szCs w:val="18"/>
                <w:lang w:eastAsia="ja-JP"/>
              </w:rPr>
            </w:pPr>
            <w:r w:rsidRPr="00942B67">
              <w:rPr>
                <w:rFonts w:asciiTheme="minorHAnsi" w:hAnsiTheme="minorHAnsi" w:cstheme="minorHAnsi"/>
                <w:sz w:val="18"/>
                <w:szCs w:val="18"/>
                <w:lang w:eastAsia="ja-JP"/>
              </w:rPr>
              <w:t>-</w:t>
            </w:r>
            <w:r w:rsidR="00AE6BD8">
              <w:rPr>
                <w:rFonts w:asciiTheme="minorHAnsi" w:hAnsiTheme="minorHAnsi" w:cstheme="minorHAnsi"/>
                <w:sz w:val="18"/>
                <w:szCs w:val="18"/>
                <w:lang w:eastAsia="ja-JP"/>
              </w:rPr>
              <w:t>4</w:t>
            </w:r>
            <w:r w:rsidR="00DF4742" w:rsidRPr="00942B67">
              <w:rPr>
                <w:rFonts w:asciiTheme="minorHAnsi" w:hAnsiTheme="minorHAnsi" w:cstheme="minorHAnsi"/>
                <w:sz w:val="18"/>
                <w:szCs w:val="18"/>
                <w:lang w:eastAsia="ja-JP"/>
              </w:rPr>
              <w:t>% to</w:t>
            </w:r>
            <w:r w:rsidR="00AE6BD8">
              <w:rPr>
                <w:rFonts w:asciiTheme="minorHAnsi" w:hAnsiTheme="minorHAnsi" w:cstheme="minorHAnsi"/>
                <w:sz w:val="18"/>
                <w:szCs w:val="18"/>
                <w:lang w:eastAsia="ja-JP"/>
              </w:rPr>
              <w:t xml:space="preserve"> +3</w:t>
            </w:r>
            <w:r w:rsidR="00DF4742" w:rsidRPr="00942B67">
              <w:rPr>
                <w:rFonts w:asciiTheme="minorHAnsi" w:hAnsiTheme="minorHAnsi" w:cstheme="minorHAnsi"/>
                <w:sz w:val="18"/>
                <w:szCs w:val="18"/>
                <w:lang w:eastAsia="ja-JP"/>
              </w:rPr>
              <w:t>%</w:t>
            </w:r>
          </w:p>
        </w:tc>
        <w:tc>
          <w:tcPr>
            <w:tcW w:w="236" w:type="dxa"/>
            <w:tcBorders>
              <w:top w:val="nil"/>
              <w:left w:val="single" w:sz="4" w:space="0" w:color="auto"/>
              <w:bottom w:val="nil"/>
              <w:right w:val="single" w:sz="4" w:space="0" w:color="auto"/>
            </w:tcBorders>
            <w:vAlign w:val="center"/>
          </w:tcPr>
          <w:p w14:paraId="5BCE469E" w14:textId="77777777" w:rsidR="00DF4742" w:rsidRPr="00DC6907" w:rsidRDefault="00DF4742" w:rsidP="0038280C">
            <w:pPr>
              <w:jc w:val="center"/>
              <w:rPr>
                <w:rFonts w:asciiTheme="minorHAnsi" w:hAnsiTheme="minorHAnsi" w:cstheme="minorHAnsi"/>
                <w:sz w:val="18"/>
                <w:szCs w:val="18"/>
                <w:lang w:eastAsia="ja-JP"/>
              </w:rPr>
            </w:pPr>
          </w:p>
        </w:tc>
        <w:tc>
          <w:tcPr>
            <w:tcW w:w="3024" w:type="dxa"/>
            <w:tcBorders>
              <w:left w:val="single" w:sz="4" w:space="0" w:color="auto"/>
            </w:tcBorders>
            <w:vAlign w:val="center"/>
          </w:tcPr>
          <w:p w14:paraId="1377FB4F" w14:textId="10E17380" w:rsidR="00DF4742" w:rsidRPr="00DC6907" w:rsidRDefault="009E31E9" w:rsidP="0038280C">
            <w:pPr>
              <w:jc w:val="center"/>
              <w:rPr>
                <w:rFonts w:asciiTheme="minorHAnsi" w:hAnsiTheme="minorHAnsi" w:cstheme="minorHAnsi"/>
                <w:sz w:val="18"/>
                <w:szCs w:val="18"/>
                <w:lang w:eastAsia="ja-JP"/>
              </w:rPr>
            </w:pPr>
            <w:r>
              <w:rPr>
                <w:rFonts w:asciiTheme="minorHAnsi" w:hAnsiTheme="minorHAnsi" w:cstheme="minorHAnsi"/>
                <w:sz w:val="18"/>
                <w:szCs w:val="18"/>
                <w:lang w:eastAsia="ja-JP"/>
              </w:rPr>
              <w:t>+</w:t>
            </w:r>
            <w:r w:rsidR="007376A6">
              <w:rPr>
                <w:rFonts w:asciiTheme="minorHAnsi" w:hAnsiTheme="minorHAnsi" w:cstheme="minorHAnsi"/>
                <w:sz w:val="18"/>
                <w:szCs w:val="18"/>
                <w:lang w:eastAsia="ja-JP"/>
              </w:rPr>
              <w:t>1</w:t>
            </w:r>
            <w:r w:rsidR="00DF4742" w:rsidRPr="00DC6907">
              <w:rPr>
                <w:rFonts w:asciiTheme="minorHAnsi" w:hAnsiTheme="minorHAnsi" w:cstheme="minorHAnsi"/>
                <w:sz w:val="18"/>
                <w:szCs w:val="18"/>
                <w:lang w:eastAsia="ja-JP"/>
              </w:rPr>
              <w:t xml:space="preserve">% to </w:t>
            </w:r>
            <w:r>
              <w:rPr>
                <w:rFonts w:asciiTheme="minorHAnsi" w:hAnsiTheme="minorHAnsi" w:cstheme="minorHAnsi"/>
                <w:sz w:val="18"/>
                <w:szCs w:val="18"/>
                <w:lang w:eastAsia="ja-JP"/>
              </w:rPr>
              <w:t>+</w:t>
            </w:r>
            <w:r w:rsidR="007376A6">
              <w:rPr>
                <w:rFonts w:asciiTheme="minorHAnsi" w:hAnsiTheme="minorHAnsi" w:cstheme="minorHAnsi"/>
                <w:sz w:val="18"/>
                <w:szCs w:val="18"/>
                <w:lang w:eastAsia="ja-JP"/>
              </w:rPr>
              <w:t>3</w:t>
            </w:r>
            <w:r w:rsidR="00DF4742" w:rsidRPr="00DC6907">
              <w:rPr>
                <w:rFonts w:asciiTheme="minorHAnsi" w:hAnsiTheme="minorHAnsi" w:cstheme="minorHAnsi"/>
                <w:sz w:val="18"/>
                <w:szCs w:val="18"/>
                <w:lang w:eastAsia="ja-JP"/>
              </w:rPr>
              <w:t>%</w:t>
            </w:r>
          </w:p>
        </w:tc>
      </w:tr>
      <w:tr w:rsidR="00DF4742" w:rsidRPr="00E655EE" w14:paraId="04B957DB" w14:textId="77777777" w:rsidTr="00942B67">
        <w:trPr>
          <w:trHeight w:val="272"/>
        </w:trPr>
        <w:tc>
          <w:tcPr>
            <w:tcW w:w="2972" w:type="dxa"/>
            <w:tcBorders>
              <w:right w:val="single" w:sz="4" w:space="0" w:color="auto"/>
            </w:tcBorders>
            <w:vAlign w:val="center"/>
          </w:tcPr>
          <w:p w14:paraId="3CDCA3EA" w14:textId="77777777" w:rsidR="00DF4742" w:rsidRPr="00E655EE" w:rsidRDefault="00DF4742" w:rsidP="00942B67">
            <w:pPr>
              <w:rPr>
                <w:rFonts w:asciiTheme="minorHAnsi" w:hAnsiTheme="minorHAnsi" w:cstheme="minorHAnsi"/>
                <w:i/>
                <w:sz w:val="18"/>
                <w:szCs w:val="18"/>
                <w:lang w:eastAsia="ja-JP"/>
              </w:rPr>
            </w:pPr>
            <w:r w:rsidRPr="00E655EE">
              <w:rPr>
                <w:rFonts w:asciiTheme="minorHAnsi" w:hAnsiTheme="minorHAnsi" w:cstheme="minorHAnsi"/>
                <w:i/>
                <w:sz w:val="18"/>
                <w:szCs w:val="18"/>
                <w:lang w:eastAsia="ja-JP"/>
              </w:rPr>
              <w:t>US dollar</w:t>
            </w:r>
          </w:p>
        </w:tc>
        <w:tc>
          <w:tcPr>
            <w:tcW w:w="236" w:type="dxa"/>
            <w:tcBorders>
              <w:top w:val="nil"/>
              <w:left w:val="single" w:sz="4" w:space="0" w:color="auto"/>
              <w:bottom w:val="nil"/>
              <w:right w:val="single" w:sz="4" w:space="0" w:color="auto"/>
            </w:tcBorders>
          </w:tcPr>
          <w:p w14:paraId="77890E5D" w14:textId="77777777" w:rsidR="00DF4742" w:rsidRPr="00E655EE" w:rsidRDefault="00DF4742" w:rsidP="00E655EE">
            <w:pPr>
              <w:jc w:val="center"/>
              <w:rPr>
                <w:rFonts w:asciiTheme="minorHAnsi" w:hAnsiTheme="minorHAnsi" w:cstheme="minorHAnsi"/>
                <w:i/>
                <w:sz w:val="18"/>
                <w:szCs w:val="18"/>
                <w:lang w:eastAsia="ja-JP"/>
              </w:rPr>
            </w:pPr>
          </w:p>
        </w:tc>
        <w:tc>
          <w:tcPr>
            <w:tcW w:w="2835" w:type="dxa"/>
            <w:tcBorders>
              <w:left w:val="single" w:sz="4" w:space="0" w:color="auto"/>
              <w:right w:val="single" w:sz="4" w:space="0" w:color="auto"/>
            </w:tcBorders>
            <w:vAlign w:val="center"/>
          </w:tcPr>
          <w:p w14:paraId="5FF8F521" w14:textId="77777777" w:rsidR="00DF4742" w:rsidRPr="00DC6907" w:rsidRDefault="00DF4742" w:rsidP="00942B67">
            <w:pPr>
              <w:jc w:val="center"/>
              <w:rPr>
                <w:rFonts w:asciiTheme="minorHAnsi" w:hAnsiTheme="minorHAnsi" w:cstheme="minorHAnsi"/>
                <w:i/>
                <w:sz w:val="18"/>
                <w:szCs w:val="18"/>
                <w:lang w:eastAsia="ja-JP"/>
              </w:rPr>
            </w:pPr>
            <w:r w:rsidRPr="00DC6907">
              <w:rPr>
                <w:rFonts w:asciiTheme="minorHAnsi" w:hAnsiTheme="minorHAnsi" w:cstheme="minorHAnsi"/>
                <w:i/>
                <w:sz w:val="18"/>
                <w:szCs w:val="18"/>
                <w:lang w:eastAsia="ja-JP"/>
              </w:rPr>
              <w:t>$1.</w:t>
            </w:r>
            <w:r w:rsidR="00090EF9" w:rsidRPr="00DC6907">
              <w:rPr>
                <w:rFonts w:asciiTheme="minorHAnsi" w:hAnsiTheme="minorHAnsi" w:cstheme="minorHAnsi"/>
                <w:i/>
                <w:sz w:val="18"/>
                <w:szCs w:val="18"/>
                <w:lang w:eastAsia="ja-JP"/>
              </w:rPr>
              <w:t xml:space="preserve">15 </w:t>
            </w:r>
            <w:r w:rsidRPr="00DC6907">
              <w:rPr>
                <w:rFonts w:asciiTheme="minorHAnsi" w:hAnsiTheme="minorHAnsi" w:cstheme="minorHAnsi"/>
                <w:i/>
                <w:sz w:val="18"/>
                <w:szCs w:val="18"/>
                <w:lang w:eastAsia="ja-JP"/>
              </w:rPr>
              <w:t>per Euro</w:t>
            </w:r>
          </w:p>
        </w:tc>
        <w:tc>
          <w:tcPr>
            <w:tcW w:w="236" w:type="dxa"/>
            <w:tcBorders>
              <w:top w:val="nil"/>
              <w:left w:val="single" w:sz="4" w:space="0" w:color="auto"/>
              <w:bottom w:val="nil"/>
              <w:right w:val="single" w:sz="4" w:space="0" w:color="auto"/>
            </w:tcBorders>
            <w:vAlign w:val="center"/>
          </w:tcPr>
          <w:p w14:paraId="6CE0C9D4" w14:textId="77777777" w:rsidR="00DF4742" w:rsidRPr="00DC6907" w:rsidRDefault="00DF4742" w:rsidP="00942B67">
            <w:pPr>
              <w:jc w:val="center"/>
              <w:rPr>
                <w:rFonts w:asciiTheme="minorHAnsi" w:hAnsiTheme="minorHAnsi" w:cstheme="minorHAnsi"/>
                <w:i/>
                <w:sz w:val="18"/>
                <w:szCs w:val="18"/>
                <w:lang w:eastAsia="ja-JP"/>
              </w:rPr>
            </w:pPr>
          </w:p>
        </w:tc>
        <w:tc>
          <w:tcPr>
            <w:tcW w:w="3024" w:type="dxa"/>
            <w:tcBorders>
              <w:left w:val="single" w:sz="4" w:space="0" w:color="auto"/>
            </w:tcBorders>
            <w:vAlign w:val="center"/>
          </w:tcPr>
          <w:p w14:paraId="06ABB7DD" w14:textId="550590E2" w:rsidR="00DF4742" w:rsidRPr="00DC6907" w:rsidRDefault="00DF4742" w:rsidP="00942B67">
            <w:pPr>
              <w:jc w:val="center"/>
              <w:rPr>
                <w:rFonts w:asciiTheme="minorHAnsi" w:hAnsiTheme="minorHAnsi" w:cstheme="minorHAnsi"/>
                <w:i/>
                <w:sz w:val="18"/>
                <w:szCs w:val="18"/>
                <w:lang w:eastAsia="ja-JP"/>
              </w:rPr>
            </w:pPr>
            <w:r w:rsidRPr="00DC6907">
              <w:rPr>
                <w:rFonts w:asciiTheme="minorHAnsi" w:hAnsiTheme="minorHAnsi" w:cstheme="minorHAnsi"/>
                <w:i/>
                <w:sz w:val="18"/>
                <w:szCs w:val="18"/>
                <w:lang w:eastAsia="ja-JP"/>
              </w:rPr>
              <w:t>$1.</w:t>
            </w:r>
            <w:r w:rsidR="00AE6BD8">
              <w:rPr>
                <w:rFonts w:asciiTheme="minorHAnsi" w:hAnsiTheme="minorHAnsi" w:cstheme="minorHAnsi"/>
                <w:i/>
                <w:sz w:val="18"/>
                <w:szCs w:val="18"/>
                <w:lang w:eastAsia="ja-JP"/>
              </w:rPr>
              <w:t>13</w:t>
            </w:r>
            <w:r w:rsidR="00DC4D47" w:rsidRPr="00DC6907">
              <w:rPr>
                <w:rFonts w:asciiTheme="minorHAnsi" w:hAnsiTheme="minorHAnsi" w:cstheme="minorHAnsi"/>
                <w:i/>
                <w:sz w:val="18"/>
                <w:szCs w:val="18"/>
                <w:lang w:eastAsia="ja-JP"/>
              </w:rPr>
              <w:t xml:space="preserve"> </w:t>
            </w:r>
            <w:r w:rsidRPr="00DC6907">
              <w:rPr>
                <w:rFonts w:asciiTheme="minorHAnsi" w:hAnsiTheme="minorHAnsi" w:cstheme="minorHAnsi"/>
                <w:i/>
                <w:sz w:val="18"/>
                <w:szCs w:val="18"/>
                <w:lang w:eastAsia="ja-JP"/>
              </w:rPr>
              <w:t>per Euro</w:t>
            </w:r>
          </w:p>
        </w:tc>
      </w:tr>
      <w:tr w:rsidR="00DF4742" w:rsidRPr="00E655EE" w14:paraId="1D982527" w14:textId="77777777" w:rsidTr="00942B67">
        <w:trPr>
          <w:trHeight w:val="272"/>
        </w:trPr>
        <w:tc>
          <w:tcPr>
            <w:tcW w:w="2972" w:type="dxa"/>
            <w:tcBorders>
              <w:right w:val="single" w:sz="4" w:space="0" w:color="auto"/>
            </w:tcBorders>
            <w:vAlign w:val="center"/>
          </w:tcPr>
          <w:p w14:paraId="556C135F" w14:textId="77777777" w:rsidR="00DF4742" w:rsidRPr="00E655EE" w:rsidRDefault="00DF4742" w:rsidP="00942B67">
            <w:pPr>
              <w:rPr>
                <w:rFonts w:asciiTheme="minorHAnsi" w:hAnsiTheme="minorHAnsi" w:cstheme="minorHAnsi"/>
                <w:i/>
                <w:sz w:val="18"/>
                <w:szCs w:val="18"/>
                <w:lang w:eastAsia="ja-JP"/>
              </w:rPr>
            </w:pPr>
            <w:r w:rsidRPr="00E655EE">
              <w:rPr>
                <w:rFonts w:asciiTheme="minorHAnsi" w:hAnsiTheme="minorHAnsi" w:cstheme="minorHAnsi"/>
                <w:i/>
                <w:sz w:val="18"/>
                <w:szCs w:val="18"/>
                <w:lang w:eastAsia="ja-JP"/>
              </w:rPr>
              <w:t>Japanese yen (before hedging)</w:t>
            </w:r>
          </w:p>
        </w:tc>
        <w:tc>
          <w:tcPr>
            <w:tcW w:w="236" w:type="dxa"/>
            <w:tcBorders>
              <w:top w:val="nil"/>
              <w:left w:val="single" w:sz="4" w:space="0" w:color="auto"/>
              <w:bottom w:val="nil"/>
              <w:right w:val="single" w:sz="4" w:space="0" w:color="auto"/>
            </w:tcBorders>
          </w:tcPr>
          <w:p w14:paraId="2E3000CD" w14:textId="77777777" w:rsidR="00DF4742" w:rsidRPr="00E655EE" w:rsidRDefault="00DF4742" w:rsidP="00E655EE">
            <w:pPr>
              <w:jc w:val="center"/>
              <w:rPr>
                <w:rFonts w:asciiTheme="minorHAnsi" w:hAnsiTheme="minorHAnsi" w:cstheme="minorHAnsi"/>
                <w:i/>
                <w:sz w:val="18"/>
                <w:szCs w:val="18"/>
                <w:lang w:eastAsia="ja-JP"/>
              </w:rPr>
            </w:pPr>
          </w:p>
        </w:tc>
        <w:tc>
          <w:tcPr>
            <w:tcW w:w="2835" w:type="dxa"/>
            <w:tcBorders>
              <w:left w:val="single" w:sz="4" w:space="0" w:color="auto"/>
              <w:right w:val="single" w:sz="4" w:space="0" w:color="auto"/>
            </w:tcBorders>
            <w:vAlign w:val="center"/>
          </w:tcPr>
          <w:p w14:paraId="029B716C" w14:textId="77777777" w:rsidR="00DF4742" w:rsidRPr="00DC6907" w:rsidRDefault="00DF4742" w:rsidP="00942B67">
            <w:pPr>
              <w:jc w:val="center"/>
              <w:rPr>
                <w:rFonts w:asciiTheme="minorHAnsi" w:hAnsiTheme="minorHAnsi" w:cstheme="minorHAnsi"/>
                <w:i/>
                <w:sz w:val="18"/>
                <w:szCs w:val="18"/>
                <w:lang w:eastAsia="ja-JP"/>
              </w:rPr>
            </w:pPr>
            <w:r w:rsidRPr="00DC6907">
              <w:rPr>
                <w:rFonts w:asciiTheme="minorHAnsi" w:hAnsiTheme="minorHAnsi" w:cstheme="minorHAnsi"/>
                <w:i/>
                <w:sz w:val="18"/>
                <w:szCs w:val="18"/>
                <w:lang w:eastAsia="ja-JP"/>
              </w:rPr>
              <w:t xml:space="preserve">JPY </w:t>
            </w:r>
            <w:r w:rsidR="00090EF9" w:rsidRPr="00DC6907">
              <w:rPr>
                <w:rFonts w:asciiTheme="minorHAnsi" w:hAnsiTheme="minorHAnsi" w:cstheme="minorHAnsi"/>
                <w:i/>
                <w:sz w:val="18"/>
                <w:szCs w:val="18"/>
                <w:lang w:eastAsia="ja-JP"/>
              </w:rPr>
              <w:t>125</w:t>
            </w:r>
            <w:r w:rsidRPr="00DC6907">
              <w:rPr>
                <w:rFonts w:asciiTheme="minorHAnsi" w:hAnsiTheme="minorHAnsi" w:cstheme="minorHAnsi"/>
                <w:i/>
                <w:sz w:val="18"/>
                <w:szCs w:val="18"/>
                <w:lang w:eastAsia="ja-JP"/>
              </w:rPr>
              <w:t>.0 per Euro</w:t>
            </w:r>
          </w:p>
        </w:tc>
        <w:tc>
          <w:tcPr>
            <w:tcW w:w="236" w:type="dxa"/>
            <w:tcBorders>
              <w:top w:val="nil"/>
              <w:left w:val="single" w:sz="4" w:space="0" w:color="auto"/>
              <w:bottom w:val="nil"/>
              <w:right w:val="single" w:sz="4" w:space="0" w:color="auto"/>
            </w:tcBorders>
            <w:vAlign w:val="center"/>
          </w:tcPr>
          <w:p w14:paraId="205AF183" w14:textId="77777777" w:rsidR="00DF4742" w:rsidRPr="00DC6907" w:rsidRDefault="00DF4742" w:rsidP="00942B67">
            <w:pPr>
              <w:jc w:val="center"/>
              <w:rPr>
                <w:rFonts w:asciiTheme="minorHAnsi" w:hAnsiTheme="minorHAnsi" w:cstheme="minorHAnsi"/>
                <w:i/>
                <w:sz w:val="18"/>
                <w:szCs w:val="18"/>
                <w:lang w:eastAsia="ja-JP"/>
              </w:rPr>
            </w:pPr>
          </w:p>
        </w:tc>
        <w:tc>
          <w:tcPr>
            <w:tcW w:w="3024" w:type="dxa"/>
            <w:tcBorders>
              <w:left w:val="single" w:sz="4" w:space="0" w:color="auto"/>
            </w:tcBorders>
            <w:vAlign w:val="center"/>
          </w:tcPr>
          <w:p w14:paraId="5BEFE7B0" w14:textId="638D0AE8" w:rsidR="00DF4742" w:rsidRPr="00DC6907" w:rsidRDefault="00DF4742" w:rsidP="00266F02">
            <w:pPr>
              <w:jc w:val="center"/>
              <w:rPr>
                <w:rFonts w:asciiTheme="minorHAnsi" w:hAnsiTheme="minorHAnsi" w:cstheme="minorHAnsi"/>
                <w:i/>
                <w:sz w:val="18"/>
                <w:szCs w:val="18"/>
                <w:lang w:eastAsia="ja-JP"/>
              </w:rPr>
            </w:pPr>
            <w:r w:rsidRPr="00DC6907">
              <w:rPr>
                <w:rFonts w:asciiTheme="minorHAnsi" w:hAnsiTheme="minorHAnsi" w:cstheme="minorHAnsi"/>
                <w:i/>
                <w:sz w:val="18"/>
                <w:szCs w:val="18"/>
                <w:lang w:eastAsia="ja-JP"/>
              </w:rPr>
              <w:t xml:space="preserve">JPY </w:t>
            </w:r>
            <w:r w:rsidR="00090EF9" w:rsidRPr="00DC6907">
              <w:rPr>
                <w:rFonts w:asciiTheme="minorHAnsi" w:hAnsiTheme="minorHAnsi" w:cstheme="minorHAnsi"/>
                <w:i/>
                <w:sz w:val="18"/>
                <w:szCs w:val="18"/>
                <w:lang w:eastAsia="ja-JP"/>
              </w:rPr>
              <w:t>1</w:t>
            </w:r>
            <w:r w:rsidR="00AE6BD8">
              <w:rPr>
                <w:rFonts w:asciiTheme="minorHAnsi" w:hAnsiTheme="minorHAnsi" w:cstheme="minorHAnsi"/>
                <w:i/>
                <w:sz w:val="18"/>
                <w:szCs w:val="18"/>
                <w:lang w:eastAsia="ja-JP"/>
              </w:rPr>
              <w:t>22.3</w:t>
            </w:r>
            <w:r w:rsidRPr="00DC6907">
              <w:rPr>
                <w:rFonts w:asciiTheme="minorHAnsi" w:hAnsiTheme="minorHAnsi" w:cstheme="minorHAnsi"/>
                <w:i/>
                <w:sz w:val="18"/>
                <w:szCs w:val="18"/>
                <w:lang w:eastAsia="ja-JP"/>
              </w:rPr>
              <w:t xml:space="preserve"> per Euro</w:t>
            </w:r>
          </w:p>
        </w:tc>
      </w:tr>
    </w:tbl>
    <w:p w14:paraId="60496992" w14:textId="77777777" w:rsidR="00DF4742" w:rsidRPr="003C12D8" w:rsidRDefault="00DF4742" w:rsidP="00DF4742">
      <w:pPr>
        <w:jc w:val="both"/>
        <w:rPr>
          <w:rFonts w:asciiTheme="minorHAnsi" w:hAnsiTheme="minorHAnsi" w:cstheme="minorHAnsi"/>
        </w:rPr>
      </w:pPr>
      <w:r w:rsidRPr="003C12D8">
        <w:rPr>
          <w:rFonts w:asciiTheme="minorHAnsi" w:hAnsiTheme="minorHAnsi" w:cstheme="minorHAnsi"/>
        </w:rPr>
        <w:t>These</w:t>
      </w:r>
      <w:r w:rsidR="00EA7D3D">
        <w:rPr>
          <w:rFonts w:asciiTheme="minorHAnsi" w:hAnsiTheme="minorHAnsi" w:cstheme="minorHAnsi"/>
        </w:rPr>
        <w:t xml:space="preserve"> framework</w:t>
      </w:r>
      <w:r w:rsidRPr="003C12D8">
        <w:rPr>
          <w:rFonts w:asciiTheme="minorHAnsi" w:hAnsiTheme="minorHAnsi" w:cstheme="minorHAnsi"/>
        </w:rPr>
        <w:t xml:space="preserve"> objectives are prepared and communicated only on a non-IFRS basis and are subject to the cautionary statement set forth below.</w:t>
      </w:r>
    </w:p>
    <w:p w14:paraId="7B63FCA6" w14:textId="77777777" w:rsidR="00DF4742" w:rsidRPr="003C12D8" w:rsidRDefault="00DF4742" w:rsidP="00DF4742">
      <w:pPr>
        <w:jc w:val="both"/>
        <w:rPr>
          <w:rFonts w:asciiTheme="minorHAnsi" w:hAnsiTheme="minorHAnsi" w:cstheme="minorHAnsi"/>
        </w:rPr>
      </w:pPr>
    </w:p>
    <w:p w14:paraId="45E05AC0" w14:textId="0BCFA910" w:rsidR="00040C67" w:rsidRPr="003C12D8" w:rsidRDefault="00DF4742" w:rsidP="003943DF">
      <w:pPr>
        <w:autoSpaceDE w:val="0"/>
        <w:autoSpaceDN w:val="0"/>
        <w:spacing w:after="240"/>
        <w:jc w:val="both"/>
        <w:rPr>
          <w:rFonts w:asciiTheme="minorHAnsi" w:hAnsiTheme="minorHAnsi" w:cstheme="minorHAnsi"/>
        </w:rPr>
      </w:pPr>
      <w:proofErr w:type="gramStart"/>
      <w:r w:rsidRPr="003C12D8">
        <w:rPr>
          <w:rFonts w:asciiTheme="minorHAnsi" w:hAnsiTheme="minorHAnsi" w:cstheme="minorHAnsi"/>
        </w:rPr>
        <w:t>The 20</w:t>
      </w:r>
      <w:r w:rsidR="00D6269F" w:rsidRPr="003C12D8">
        <w:rPr>
          <w:rFonts w:asciiTheme="minorHAnsi" w:hAnsiTheme="minorHAnsi" w:cstheme="minorHAnsi"/>
        </w:rPr>
        <w:t>20</w:t>
      </w:r>
      <w:r w:rsidRPr="003C12D8">
        <w:rPr>
          <w:rFonts w:asciiTheme="minorHAnsi" w:hAnsiTheme="minorHAnsi" w:cstheme="minorHAnsi"/>
        </w:rPr>
        <w:t xml:space="preserve"> non-IFRS financial </w:t>
      </w:r>
      <w:r w:rsidRPr="001600FF">
        <w:rPr>
          <w:rFonts w:asciiTheme="minorHAnsi" w:hAnsiTheme="minorHAnsi" w:cstheme="minorHAnsi"/>
        </w:rPr>
        <w:t>objectives</w:t>
      </w:r>
      <w:r w:rsidR="002C5AB6">
        <w:rPr>
          <w:rFonts w:asciiTheme="minorHAnsi" w:hAnsiTheme="minorHAnsi" w:cstheme="minorHAnsi"/>
        </w:rPr>
        <w:t xml:space="preserve"> </w:t>
      </w:r>
      <w:r w:rsidR="00103AEC" w:rsidRPr="001600FF">
        <w:rPr>
          <w:rFonts w:asciiTheme="minorHAnsi" w:hAnsiTheme="minorHAnsi" w:cstheme="minorHAnsi"/>
        </w:rPr>
        <w:t>framework</w:t>
      </w:r>
      <w:r w:rsidRPr="001600FF">
        <w:rPr>
          <w:rFonts w:asciiTheme="minorHAnsi" w:hAnsiTheme="minorHAnsi" w:cstheme="minorHAnsi"/>
        </w:rPr>
        <w:t xml:space="preserve"> set forth above do not take into account the follo</w:t>
      </w:r>
      <w:r w:rsidR="002C5AB6">
        <w:rPr>
          <w:rFonts w:asciiTheme="minorHAnsi" w:hAnsiTheme="minorHAnsi" w:cstheme="minorHAnsi"/>
        </w:rPr>
        <w:t>wing accounting elements below and are</w:t>
      </w:r>
      <w:r w:rsidRPr="001600FF">
        <w:rPr>
          <w:rFonts w:asciiTheme="minorHAnsi" w:hAnsiTheme="minorHAnsi" w:cstheme="minorHAnsi"/>
        </w:rPr>
        <w:t xml:space="preserve"> estimated based upon the 20</w:t>
      </w:r>
      <w:r w:rsidR="00D6269F" w:rsidRPr="001600FF">
        <w:rPr>
          <w:rFonts w:asciiTheme="minorHAnsi" w:hAnsiTheme="minorHAnsi" w:cstheme="minorHAnsi"/>
        </w:rPr>
        <w:t>20</w:t>
      </w:r>
      <w:r w:rsidRPr="001600FF">
        <w:rPr>
          <w:rFonts w:asciiTheme="minorHAnsi" w:hAnsiTheme="minorHAnsi" w:cstheme="minorHAnsi"/>
        </w:rPr>
        <w:t xml:space="preserve"> principal currency exchange rates above: contract liabilities write-downs estimated at approximately €</w:t>
      </w:r>
      <w:r w:rsidR="00BF0DFD">
        <w:rPr>
          <w:rFonts w:asciiTheme="minorHAnsi" w:hAnsiTheme="minorHAnsi" w:cstheme="minorHAnsi"/>
        </w:rPr>
        <w:t>13</w:t>
      </w:r>
      <w:r w:rsidR="00BF0DFD" w:rsidRPr="001600FF">
        <w:rPr>
          <w:rFonts w:asciiTheme="minorHAnsi" w:hAnsiTheme="minorHAnsi" w:cstheme="minorHAnsi"/>
        </w:rPr>
        <w:t xml:space="preserve"> </w:t>
      </w:r>
      <w:r w:rsidRPr="001600FF">
        <w:rPr>
          <w:rFonts w:asciiTheme="minorHAnsi" w:hAnsiTheme="minorHAnsi" w:cstheme="minorHAnsi"/>
        </w:rPr>
        <w:t>million</w:t>
      </w:r>
      <w:r w:rsidR="00A04C02" w:rsidRPr="001600FF">
        <w:rPr>
          <w:rFonts w:asciiTheme="minorHAnsi" w:hAnsiTheme="minorHAnsi" w:cstheme="minorHAnsi"/>
        </w:rPr>
        <w:t>,</w:t>
      </w:r>
      <w:r w:rsidRPr="001600FF">
        <w:rPr>
          <w:rFonts w:asciiTheme="minorHAnsi" w:hAnsiTheme="minorHAnsi" w:cstheme="minorHAnsi"/>
        </w:rPr>
        <w:t>; share-based compensation expense</w:t>
      </w:r>
      <w:r w:rsidR="009C623C">
        <w:rPr>
          <w:rFonts w:asciiTheme="minorHAnsi" w:hAnsiTheme="minorHAnsi" w:cstheme="minorHAnsi"/>
        </w:rPr>
        <w:t>s</w:t>
      </w:r>
      <w:r w:rsidRPr="001600FF">
        <w:rPr>
          <w:rFonts w:asciiTheme="minorHAnsi" w:hAnsiTheme="minorHAnsi" w:cstheme="minorHAnsi"/>
        </w:rPr>
        <w:t>, including related social charges, estimated at approximately €</w:t>
      </w:r>
      <w:r w:rsidR="00BF0DFD">
        <w:rPr>
          <w:rFonts w:asciiTheme="minorHAnsi" w:hAnsiTheme="minorHAnsi" w:cstheme="minorHAnsi"/>
        </w:rPr>
        <w:t>209</w:t>
      </w:r>
      <w:r w:rsidR="00BF0DFD" w:rsidRPr="001600FF">
        <w:rPr>
          <w:rFonts w:asciiTheme="minorHAnsi" w:hAnsiTheme="minorHAnsi" w:cstheme="minorHAnsi"/>
        </w:rPr>
        <w:t xml:space="preserve"> </w:t>
      </w:r>
      <w:r w:rsidRPr="001600FF">
        <w:rPr>
          <w:rFonts w:asciiTheme="minorHAnsi" w:hAnsiTheme="minorHAnsi" w:cstheme="minorHAnsi"/>
        </w:rPr>
        <w:t>million</w:t>
      </w:r>
      <w:r w:rsidR="00266F02">
        <w:rPr>
          <w:rFonts w:asciiTheme="minorHAnsi" w:hAnsiTheme="minorHAnsi" w:cstheme="minorHAnsi"/>
        </w:rPr>
        <w:t>;</w:t>
      </w:r>
      <w:r w:rsidRPr="001600FF">
        <w:rPr>
          <w:rFonts w:asciiTheme="minorHAnsi" w:hAnsiTheme="minorHAnsi" w:cstheme="minorHAnsi"/>
        </w:rPr>
        <w:t xml:space="preserve"> and amortization of acquired intangibles </w:t>
      </w:r>
      <w:r w:rsidR="00324CE9" w:rsidRPr="001600FF">
        <w:rPr>
          <w:rFonts w:asciiTheme="minorHAnsi" w:hAnsiTheme="minorHAnsi" w:cstheme="minorHAnsi"/>
        </w:rPr>
        <w:t xml:space="preserve">and of tangibles reevaluation, </w:t>
      </w:r>
      <w:r w:rsidRPr="001600FF">
        <w:rPr>
          <w:rFonts w:asciiTheme="minorHAnsi" w:hAnsiTheme="minorHAnsi" w:cstheme="minorHAnsi"/>
        </w:rPr>
        <w:t>estimated at approximately €</w:t>
      </w:r>
      <w:r w:rsidR="00BF0DFD">
        <w:rPr>
          <w:rFonts w:asciiTheme="minorHAnsi" w:hAnsiTheme="minorHAnsi" w:cstheme="minorHAnsi"/>
        </w:rPr>
        <w:t>400</w:t>
      </w:r>
      <w:r w:rsidR="00F51474">
        <w:rPr>
          <w:rFonts w:asciiTheme="minorHAnsi" w:hAnsiTheme="minorHAnsi" w:cstheme="minorHAnsi"/>
        </w:rPr>
        <w:t> </w:t>
      </w:r>
      <w:r w:rsidRPr="001600FF">
        <w:rPr>
          <w:rFonts w:asciiTheme="minorHAnsi" w:hAnsiTheme="minorHAnsi" w:cstheme="minorHAnsi"/>
        </w:rPr>
        <w:t>million</w:t>
      </w:r>
      <w:r w:rsidR="00FB2889">
        <w:rPr>
          <w:rFonts w:asciiTheme="minorHAnsi" w:hAnsiTheme="minorHAnsi" w:cstheme="minorHAnsi"/>
        </w:rPr>
        <w:t>, largely impacted by the acquisition</w:t>
      </w:r>
      <w:r w:rsidR="006507FE" w:rsidRPr="006507FE">
        <w:rPr>
          <w:rFonts w:asciiTheme="minorHAnsi" w:hAnsiTheme="minorHAnsi" w:cstheme="minorHAnsi"/>
        </w:rPr>
        <w:t xml:space="preserve"> </w:t>
      </w:r>
      <w:r w:rsidR="006507FE">
        <w:rPr>
          <w:rFonts w:asciiTheme="minorHAnsi" w:hAnsiTheme="minorHAnsi" w:cstheme="minorHAnsi"/>
        </w:rPr>
        <w:t xml:space="preserve">of </w:t>
      </w:r>
      <w:proofErr w:type="spellStart"/>
      <w:r w:rsidR="006507FE">
        <w:rPr>
          <w:rFonts w:asciiTheme="minorHAnsi" w:hAnsiTheme="minorHAnsi" w:cstheme="minorHAnsi"/>
        </w:rPr>
        <w:t>Medidata</w:t>
      </w:r>
      <w:proofErr w:type="spellEnd"/>
      <w:r w:rsidR="00266F02">
        <w:rPr>
          <w:rFonts w:asciiTheme="minorHAnsi" w:hAnsiTheme="minorHAnsi" w:cstheme="minorHAnsi"/>
        </w:rPr>
        <w:t>;</w:t>
      </w:r>
      <w:r w:rsidR="009E31E9" w:rsidRPr="001600FF">
        <w:rPr>
          <w:rFonts w:asciiTheme="minorHAnsi" w:hAnsiTheme="minorHAnsi" w:cstheme="minorHAnsi"/>
        </w:rPr>
        <w:t xml:space="preserve"> and lease incentives of acquired companies </w:t>
      </w:r>
      <w:r w:rsidR="00C24B09" w:rsidRPr="001600FF">
        <w:rPr>
          <w:rFonts w:asciiTheme="minorHAnsi" w:hAnsiTheme="minorHAnsi" w:cstheme="minorHAnsi"/>
        </w:rPr>
        <w:t xml:space="preserve">at approximately </w:t>
      </w:r>
      <w:r w:rsidR="009E31E9" w:rsidRPr="001600FF">
        <w:rPr>
          <w:rFonts w:asciiTheme="minorHAnsi" w:hAnsiTheme="minorHAnsi" w:cstheme="minorHAnsi"/>
        </w:rPr>
        <w:t>€3 million</w:t>
      </w:r>
      <w:r w:rsidRPr="001600FF">
        <w:rPr>
          <w:rFonts w:asciiTheme="minorHAnsi" w:hAnsiTheme="minorHAnsi" w:cstheme="minorHAnsi"/>
        </w:rPr>
        <w:t>.</w:t>
      </w:r>
      <w:proofErr w:type="gramEnd"/>
      <w:r w:rsidRPr="001600FF">
        <w:rPr>
          <w:rFonts w:asciiTheme="minorHAnsi" w:hAnsiTheme="minorHAnsi" w:cstheme="minorHAnsi"/>
        </w:rPr>
        <w:t xml:space="preserve"> The above objectives also do not include any impact from other operating income and expense</w:t>
      </w:r>
      <w:r w:rsidR="00C7469C">
        <w:rPr>
          <w:rFonts w:asciiTheme="minorHAnsi" w:hAnsiTheme="minorHAnsi" w:cstheme="minorHAnsi"/>
        </w:rPr>
        <w:t>s</w:t>
      </w:r>
      <w:r w:rsidRPr="001600FF">
        <w:rPr>
          <w:rFonts w:asciiTheme="minorHAnsi" w:hAnsiTheme="minorHAnsi" w:cstheme="minorHAnsi"/>
        </w:rPr>
        <w:t>, net principally comprised of acquisition, integration and restructuring expenses, and impairment of goodwill and acquired intangible assets; from one-time items included in financial revenue</w:t>
      </w:r>
      <w:r w:rsidRPr="003C12D8">
        <w:rPr>
          <w:rFonts w:asciiTheme="minorHAnsi" w:hAnsiTheme="minorHAnsi" w:cstheme="minorHAnsi"/>
        </w:rPr>
        <w:t>; from one-time tax effects; and from the income tax effects of these non-IFRS adjustments. Finally, these estimates do not include any new stock option or share grants, or any new acquisitions</w:t>
      </w:r>
      <w:r w:rsidR="00DC6907" w:rsidRPr="003C12D8">
        <w:rPr>
          <w:rFonts w:asciiTheme="minorHAnsi" w:hAnsiTheme="minorHAnsi" w:cstheme="minorHAnsi"/>
        </w:rPr>
        <w:t xml:space="preserve"> </w:t>
      </w:r>
      <w:r w:rsidRPr="003C12D8">
        <w:rPr>
          <w:rFonts w:asciiTheme="minorHAnsi" w:hAnsiTheme="minorHAnsi" w:cstheme="minorHAnsi"/>
        </w:rPr>
        <w:t xml:space="preserve">or restructuring completed after </w:t>
      </w:r>
      <w:r w:rsidR="00266F02">
        <w:rPr>
          <w:rFonts w:asciiTheme="minorHAnsi" w:hAnsiTheme="minorHAnsi" w:cstheme="minorHAnsi"/>
        </w:rPr>
        <w:t>June 30</w:t>
      </w:r>
      <w:r w:rsidR="00EA7D3D">
        <w:rPr>
          <w:rFonts w:asciiTheme="minorHAnsi" w:hAnsiTheme="minorHAnsi" w:cstheme="minorHAnsi"/>
        </w:rPr>
        <w:t>, 2020</w:t>
      </w:r>
      <w:r w:rsidRPr="003C12D8">
        <w:rPr>
          <w:rFonts w:asciiTheme="minorHAnsi" w:hAnsiTheme="minorHAnsi" w:cstheme="minorHAnsi"/>
        </w:rPr>
        <w:t>.</w:t>
      </w:r>
      <w:r w:rsidR="00040C67" w:rsidRPr="003C12D8">
        <w:rPr>
          <w:rFonts w:asciiTheme="minorHAnsi" w:hAnsiTheme="minorHAnsi" w:cstheme="minorHAnsi"/>
        </w:rPr>
        <w:t xml:space="preserve"> </w:t>
      </w:r>
    </w:p>
    <w:p w14:paraId="4AF97099" w14:textId="77777777" w:rsidR="00DF4742" w:rsidRPr="003C12D8" w:rsidRDefault="00DF4742" w:rsidP="00DF4742">
      <w:pPr>
        <w:jc w:val="both"/>
        <w:rPr>
          <w:rFonts w:asciiTheme="minorHAnsi" w:hAnsiTheme="minorHAnsi" w:cstheme="minorHAnsi"/>
        </w:rPr>
      </w:pPr>
    </w:p>
    <w:p w14:paraId="5E617DDD" w14:textId="77777777" w:rsidR="00DF4742" w:rsidRPr="003C12D8" w:rsidRDefault="00DF4742" w:rsidP="00DF4742">
      <w:pPr>
        <w:jc w:val="both"/>
        <w:rPr>
          <w:rFonts w:asciiTheme="minorHAnsi" w:hAnsiTheme="minorHAnsi" w:cstheme="minorHAnsi"/>
          <w:b/>
        </w:rPr>
      </w:pPr>
      <w:r w:rsidRPr="003C12D8">
        <w:rPr>
          <w:rFonts w:asciiTheme="minorHAnsi" w:hAnsiTheme="minorHAnsi" w:cstheme="minorHAnsi"/>
          <w:b/>
        </w:rPr>
        <w:t>Cash Flow</w:t>
      </w:r>
      <w:r w:rsidR="005E1AE8" w:rsidRPr="003C12D8">
        <w:rPr>
          <w:rFonts w:asciiTheme="minorHAnsi" w:hAnsiTheme="minorHAnsi" w:cstheme="minorHAnsi"/>
          <w:b/>
        </w:rPr>
        <w:t xml:space="preserve"> and Balance Sheet Information</w:t>
      </w:r>
    </w:p>
    <w:p w14:paraId="5D2670C8" w14:textId="77777777" w:rsidR="00DF4742" w:rsidRPr="003C12D8" w:rsidRDefault="00DF4742" w:rsidP="00DF4742">
      <w:pPr>
        <w:jc w:val="both"/>
        <w:rPr>
          <w:rFonts w:asciiTheme="minorHAnsi" w:hAnsiTheme="minorHAnsi" w:cstheme="minorHAnsi"/>
          <w:b/>
        </w:rPr>
      </w:pPr>
    </w:p>
    <w:p w14:paraId="363BB8CD" w14:textId="58E9FC43" w:rsidR="00390E80" w:rsidRDefault="00390E80" w:rsidP="00DF4742">
      <w:pPr>
        <w:jc w:val="both"/>
        <w:rPr>
          <w:rFonts w:asciiTheme="minorHAnsi" w:hAnsiTheme="minorHAnsi" w:cstheme="minorHAnsi"/>
        </w:rPr>
      </w:pPr>
      <w:r w:rsidRPr="0044035E">
        <w:rPr>
          <w:rFonts w:asciiTheme="minorHAnsi" w:hAnsiTheme="minorHAnsi" w:cstheme="minorHAnsi"/>
        </w:rPr>
        <w:t xml:space="preserve">For the 2020 First Half, </w:t>
      </w:r>
      <w:r w:rsidR="002C5AB6" w:rsidRPr="0044035E">
        <w:rPr>
          <w:rFonts w:asciiTheme="minorHAnsi" w:hAnsiTheme="minorHAnsi" w:cstheme="minorHAnsi"/>
        </w:rPr>
        <w:t xml:space="preserve">the </w:t>
      </w:r>
      <w:r w:rsidR="00A557D9">
        <w:rPr>
          <w:rFonts w:asciiTheme="minorHAnsi" w:hAnsiTheme="minorHAnsi" w:cstheme="minorHAnsi"/>
        </w:rPr>
        <w:t>Group</w:t>
      </w:r>
      <w:r w:rsidR="00A557D9" w:rsidRPr="0044035E">
        <w:rPr>
          <w:rFonts w:asciiTheme="minorHAnsi" w:hAnsiTheme="minorHAnsi" w:cstheme="minorHAnsi"/>
        </w:rPr>
        <w:t xml:space="preserve">’s </w:t>
      </w:r>
      <w:r w:rsidR="002C5AB6" w:rsidRPr="0044035E">
        <w:rPr>
          <w:rFonts w:asciiTheme="minorHAnsi" w:hAnsiTheme="minorHAnsi" w:cstheme="minorHAnsi"/>
        </w:rPr>
        <w:t>principal sources of liquidity were cash from operati</w:t>
      </w:r>
      <w:r w:rsidR="00FA46AD" w:rsidRPr="0044035E">
        <w:rPr>
          <w:rFonts w:asciiTheme="minorHAnsi" w:hAnsiTheme="minorHAnsi" w:cstheme="minorHAnsi"/>
        </w:rPr>
        <w:t xml:space="preserve">ons aggregating </w:t>
      </w:r>
      <w:r w:rsidR="00FA46AD" w:rsidRPr="00B019D2">
        <w:rPr>
          <w:rFonts w:asciiTheme="minorHAnsi" w:hAnsiTheme="minorHAnsi" w:cstheme="minorHAnsi"/>
        </w:rPr>
        <w:t>€</w:t>
      </w:r>
      <w:r w:rsidR="00DA30BE" w:rsidRPr="00B019D2">
        <w:rPr>
          <w:rFonts w:asciiTheme="minorHAnsi" w:hAnsiTheme="minorHAnsi" w:cstheme="minorHAnsi"/>
        </w:rPr>
        <w:t>855</w:t>
      </w:r>
      <w:r w:rsidR="00FA46AD" w:rsidRPr="00B019D2">
        <w:rPr>
          <w:rFonts w:asciiTheme="minorHAnsi" w:hAnsiTheme="minorHAnsi" w:cstheme="minorHAnsi"/>
        </w:rPr>
        <w:t>.</w:t>
      </w:r>
      <w:r w:rsidR="00DA30BE" w:rsidRPr="00B019D2">
        <w:rPr>
          <w:rFonts w:asciiTheme="minorHAnsi" w:hAnsiTheme="minorHAnsi" w:cstheme="minorHAnsi"/>
        </w:rPr>
        <w:t>0</w:t>
      </w:r>
      <w:r w:rsidR="002C5AB6" w:rsidRPr="0044035E">
        <w:rPr>
          <w:rFonts w:asciiTheme="minorHAnsi" w:hAnsiTheme="minorHAnsi" w:cstheme="minorHAnsi"/>
        </w:rPr>
        <w:t xml:space="preserve"> million as well as cash for stock options exercised of </w:t>
      </w:r>
      <w:r w:rsidR="002C5AB6" w:rsidRPr="00B019D2">
        <w:rPr>
          <w:rFonts w:asciiTheme="minorHAnsi" w:hAnsiTheme="minorHAnsi" w:cstheme="minorHAnsi"/>
        </w:rPr>
        <w:t>€</w:t>
      </w:r>
      <w:r w:rsidR="000F48F7" w:rsidRPr="00B019D2">
        <w:rPr>
          <w:rFonts w:asciiTheme="minorHAnsi" w:hAnsiTheme="minorHAnsi" w:cstheme="minorHAnsi"/>
        </w:rPr>
        <w:t>47</w:t>
      </w:r>
      <w:r w:rsidR="002C5AB6" w:rsidRPr="00B019D2">
        <w:rPr>
          <w:rFonts w:asciiTheme="minorHAnsi" w:hAnsiTheme="minorHAnsi" w:cstheme="minorHAnsi"/>
        </w:rPr>
        <w:t>.</w:t>
      </w:r>
      <w:r w:rsidR="000F48F7" w:rsidRPr="00B019D2">
        <w:rPr>
          <w:rFonts w:asciiTheme="minorHAnsi" w:hAnsiTheme="minorHAnsi" w:cstheme="minorHAnsi"/>
        </w:rPr>
        <w:t>3</w:t>
      </w:r>
      <w:r w:rsidR="002C5AB6" w:rsidRPr="0044035E">
        <w:rPr>
          <w:rFonts w:asciiTheme="minorHAnsi" w:hAnsiTheme="minorHAnsi" w:cstheme="minorHAnsi"/>
        </w:rPr>
        <w:t xml:space="preserve"> million. During the 2020 First Half</w:t>
      </w:r>
      <w:r w:rsidR="009A2798">
        <w:rPr>
          <w:rFonts w:asciiTheme="minorHAnsi" w:hAnsiTheme="minorHAnsi" w:cstheme="minorHAnsi"/>
        </w:rPr>
        <w:t>,</w:t>
      </w:r>
      <w:r w:rsidR="002C5AB6" w:rsidRPr="0044035E">
        <w:rPr>
          <w:rFonts w:asciiTheme="minorHAnsi" w:hAnsiTheme="minorHAnsi" w:cstheme="minorHAnsi"/>
        </w:rPr>
        <w:t xml:space="preserve"> cash from opera</w:t>
      </w:r>
      <w:r w:rsidR="00FA46AD" w:rsidRPr="0044035E">
        <w:rPr>
          <w:rFonts w:asciiTheme="minorHAnsi" w:hAnsiTheme="minorHAnsi" w:cstheme="minorHAnsi"/>
        </w:rPr>
        <w:t xml:space="preserve">tions </w:t>
      </w:r>
      <w:proofErr w:type="gramStart"/>
      <w:r w:rsidR="00FA46AD" w:rsidRPr="0044035E">
        <w:rPr>
          <w:rFonts w:asciiTheme="minorHAnsi" w:hAnsiTheme="minorHAnsi" w:cstheme="minorHAnsi"/>
        </w:rPr>
        <w:t>was used</w:t>
      </w:r>
      <w:proofErr w:type="gramEnd"/>
      <w:r w:rsidR="00FA46AD" w:rsidRPr="0044035E">
        <w:rPr>
          <w:rFonts w:asciiTheme="minorHAnsi" w:hAnsiTheme="minorHAnsi" w:cstheme="minorHAnsi"/>
        </w:rPr>
        <w:t xml:space="preserve"> principally</w:t>
      </w:r>
      <w:r w:rsidR="002C5AB6" w:rsidRPr="0044035E">
        <w:rPr>
          <w:rFonts w:asciiTheme="minorHAnsi" w:hAnsiTheme="minorHAnsi" w:cstheme="minorHAnsi"/>
        </w:rPr>
        <w:t xml:space="preserve"> to dis</w:t>
      </w:r>
      <w:r w:rsidR="00965E9B" w:rsidRPr="0044035E">
        <w:rPr>
          <w:rFonts w:asciiTheme="minorHAnsi" w:hAnsiTheme="minorHAnsi" w:cstheme="minorHAnsi"/>
        </w:rPr>
        <w:t xml:space="preserve">tribute cash dividends of </w:t>
      </w:r>
      <w:r w:rsidR="00965E9B" w:rsidRPr="00B019D2">
        <w:rPr>
          <w:rFonts w:asciiTheme="minorHAnsi" w:hAnsiTheme="minorHAnsi" w:cstheme="minorHAnsi"/>
        </w:rPr>
        <w:t>€182.</w:t>
      </w:r>
      <w:r w:rsidR="00D129F0" w:rsidRPr="00B019D2">
        <w:rPr>
          <w:rFonts w:asciiTheme="minorHAnsi" w:hAnsiTheme="minorHAnsi" w:cstheme="minorHAnsi"/>
        </w:rPr>
        <w:t>5</w:t>
      </w:r>
      <w:r w:rsidR="002C5AB6" w:rsidRPr="0044035E">
        <w:rPr>
          <w:rFonts w:asciiTheme="minorHAnsi" w:hAnsiTheme="minorHAnsi" w:cstheme="minorHAnsi"/>
        </w:rPr>
        <w:t xml:space="preserve"> million; capital expenditures, net of €</w:t>
      </w:r>
      <w:r w:rsidR="0044035E" w:rsidRPr="00B019D2">
        <w:rPr>
          <w:rFonts w:asciiTheme="minorHAnsi" w:hAnsiTheme="minorHAnsi" w:cstheme="minorHAnsi"/>
        </w:rPr>
        <w:t>8</w:t>
      </w:r>
      <w:r w:rsidR="00C83B1D">
        <w:rPr>
          <w:rFonts w:asciiTheme="minorHAnsi" w:hAnsiTheme="minorHAnsi" w:cstheme="minorHAnsi"/>
        </w:rPr>
        <w:t>7</w:t>
      </w:r>
      <w:r w:rsidR="002C5AB6" w:rsidRPr="00B019D2">
        <w:rPr>
          <w:rFonts w:asciiTheme="minorHAnsi" w:hAnsiTheme="minorHAnsi" w:cstheme="minorHAnsi"/>
        </w:rPr>
        <w:t>.</w:t>
      </w:r>
      <w:r w:rsidR="00D129F0" w:rsidRPr="00B019D2">
        <w:rPr>
          <w:rFonts w:asciiTheme="minorHAnsi" w:hAnsiTheme="minorHAnsi" w:cstheme="minorHAnsi"/>
        </w:rPr>
        <w:t>4</w:t>
      </w:r>
      <w:r w:rsidR="002C5AB6" w:rsidRPr="0044035E">
        <w:rPr>
          <w:rFonts w:asciiTheme="minorHAnsi" w:hAnsiTheme="minorHAnsi" w:cstheme="minorHAnsi"/>
        </w:rPr>
        <w:t xml:space="preserve"> million;</w:t>
      </w:r>
      <w:r w:rsidR="00965E9B" w:rsidRPr="0044035E">
        <w:rPr>
          <w:rFonts w:asciiTheme="minorHAnsi" w:hAnsiTheme="minorHAnsi" w:cstheme="minorHAnsi"/>
        </w:rPr>
        <w:t xml:space="preserve"> repurchase of shares of €</w:t>
      </w:r>
      <w:r w:rsidR="0044035E" w:rsidRPr="0044035E">
        <w:rPr>
          <w:rFonts w:asciiTheme="minorHAnsi" w:hAnsiTheme="minorHAnsi" w:cstheme="minorHAnsi"/>
        </w:rPr>
        <w:t>104.7</w:t>
      </w:r>
      <w:r w:rsidR="002C5AB6" w:rsidRPr="0044035E">
        <w:rPr>
          <w:rFonts w:asciiTheme="minorHAnsi" w:hAnsiTheme="minorHAnsi" w:cstheme="minorHAnsi"/>
        </w:rPr>
        <w:t xml:space="preserve"> million related to its stock options and share grant programs and payment for lease obligations of €</w:t>
      </w:r>
      <w:r w:rsidR="00D129F0" w:rsidRPr="00B019D2">
        <w:rPr>
          <w:rFonts w:asciiTheme="minorHAnsi" w:hAnsiTheme="minorHAnsi" w:cstheme="minorHAnsi"/>
        </w:rPr>
        <w:t>47</w:t>
      </w:r>
      <w:r w:rsidR="002C5AB6" w:rsidRPr="00B019D2">
        <w:rPr>
          <w:rFonts w:asciiTheme="minorHAnsi" w:hAnsiTheme="minorHAnsi" w:cstheme="minorHAnsi"/>
        </w:rPr>
        <w:t>.</w:t>
      </w:r>
      <w:r w:rsidR="00D129F0" w:rsidRPr="00B019D2">
        <w:rPr>
          <w:rFonts w:asciiTheme="minorHAnsi" w:hAnsiTheme="minorHAnsi" w:cstheme="minorHAnsi"/>
        </w:rPr>
        <w:t>4</w:t>
      </w:r>
      <w:r w:rsidR="002C5AB6" w:rsidRPr="0044035E">
        <w:rPr>
          <w:rFonts w:asciiTheme="minorHAnsi" w:hAnsiTheme="minorHAnsi" w:cstheme="minorHAnsi"/>
        </w:rPr>
        <w:t xml:space="preserve"> million.</w:t>
      </w:r>
      <w:r w:rsidR="002C5AB6" w:rsidRPr="002C5AB6">
        <w:rPr>
          <w:rFonts w:asciiTheme="minorHAnsi" w:hAnsiTheme="minorHAnsi" w:cstheme="minorHAnsi"/>
        </w:rPr>
        <w:t xml:space="preserve"> </w:t>
      </w:r>
      <w:r>
        <w:rPr>
          <w:rFonts w:asciiTheme="minorHAnsi" w:hAnsiTheme="minorHAnsi" w:cstheme="minorHAnsi"/>
        </w:rPr>
        <w:t xml:space="preserve"> </w:t>
      </w:r>
    </w:p>
    <w:p w14:paraId="6D07E225" w14:textId="77777777" w:rsidR="00DF4742" w:rsidRPr="003C12D8" w:rsidRDefault="00DF4742" w:rsidP="00DF4742">
      <w:pPr>
        <w:jc w:val="both"/>
        <w:rPr>
          <w:rFonts w:asciiTheme="minorHAnsi" w:hAnsiTheme="minorHAnsi" w:cstheme="minorHAnsi"/>
        </w:rPr>
      </w:pPr>
    </w:p>
    <w:p w14:paraId="627B9B9A" w14:textId="76A27211" w:rsidR="00324CE9" w:rsidRPr="003C12D8" w:rsidRDefault="00324CE9" w:rsidP="003943DF">
      <w:pPr>
        <w:spacing w:after="240"/>
        <w:jc w:val="both"/>
        <w:rPr>
          <w:rFonts w:asciiTheme="minorHAnsi" w:hAnsiTheme="minorHAnsi" w:cstheme="minorHAnsi"/>
        </w:rPr>
      </w:pPr>
      <w:r w:rsidRPr="00733263">
        <w:rPr>
          <w:rFonts w:asciiTheme="minorHAnsi" w:hAnsiTheme="minorHAnsi" w:cstheme="minorHAnsi"/>
        </w:rPr>
        <w:t>Dassault Systèmes’ net financial position totaled €</w:t>
      </w:r>
      <w:r w:rsidR="009E31E9" w:rsidRPr="00733263">
        <w:rPr>
          <w:rFonts w:asciiTheme="minorHAnsi" w:hAnsiTheme="minorHAnsi" w:cstheme="minorHAnsi"/>
        </w:rPr>
        <w:t>(</w:t>
      </w:r>
      <w:r w:rsidR="00EA7D3D" w:rsidRPr="00733263">
        <w:rPr>
          <w:rFonts w:asciiTheme="minorHAnsi" w:hAnsiTheme="minorHAnsi" w:cstheme="minorHAnsi"/>
        </w:rPr>
        <w:t>2.</w:t>
      </w:r>
      <w:r w:rsidR="00965E9B">
        <w:rPr>
          <w:rFonts w:asciiTheme="minorHAnsi" w:hAnsiTheme="minorHAnsi" w:cstheme="minorHAnsi"/>
        </w:rPr>
        <w:t>2</w:t>
      </w:r>
      <w:r w:rsidR="009E31E9">
        <w:rPr>
          <w:rFonts w:asciiTheme="minorHAnsi" w:hAnsiTheme="minorHAnsi" w:cstheme="minorHAnsi"/>
        </w:rPr>
        <w:t>)</w:t>
      </w:r>
      <w:r w:rsidR="00266F02">
        <w:rPr>
          <w:rFonts w:asciiTheme="minorHAnsi" w:hAnsiTheme="minorHAnsi" w:cstheme="minorHAnsi"/>
        </w:rPr>
        <w:t xml:space="preserve"> billion at June 30</w:t>
      </w:r>
      <w:r w:rsidR="00EA7D3D">
        <w:rPr>
          <w:rFonts w:asciiTheme="minorHAnsi" w:hAnsiTheme="minorHAnsi" w:cstheme="minorHAnsi"/>
        </w:rPr>
        <w:t>, 2020, compared to €(2.</w:t>
      </w:r>
      <w:r w:rsidR="00484E10">
        <w:rPr>
          <w:rFonts w:asciiTheme="minorHAnsi" w:hAnsiTheme="minorHAnsi" w:cstheme="minorHAnsi"/>
        </w:rPr>
        <w:t>7</w:t>
      </w:r>
      <w:r w:rsidR="00EA7D3D">
        <w:rPr>
          <w:rFonts w:asciiTheme="minorHAnsi" w:hAnsiTheme="minorHAnsi" w:cstheme="minorHAnsi"/>
        </w:rPr>
        <w:t>) billion at December 31, 2019</w:t>
      </w:r>
      <w:r w:rsidRPr="003C12D8">
        <w:rPr>
          <w:rFonts w:asciiTheme="minorHAnsi" w:hAnsiTheme="minorHAnsi" w:cstheme="minorHAnsi"/>
        </w:rPr>
        <w:t>, reflecting cash, cash equivalents an</w:t>
      </w:r>
      <w:r w:rsidR="00EA7D3D">
        <w:rPr>
          <w:rFonts w:asciiTheme="minorHAnsi" w:hAnsiTheme="minorHAnsi" w:cstheme="minorHAnsi"/>
        </w:rPr>
        <w:t>d short-term investments of €</w:t>
      </w:r>
      <w:r w:rsidR="00FA46AD">
        <w:rPr>
          <w:rFonts w:asciiTheme="minorHAnsi" w:hAnsiTheme="minorHAnsi" w:cstheme="minorHAnsi"/>
        </w:rPr>
        <w:t>2.4</w:t>
      </w:r>
      <w:r w:rsidRPr="003C12D8">
        <w:rPr>
          <w:rFonts w:asciiTheme="minorHAnsi" w:hAnsiTheme="minorHAnsi" w:cstheme="minorHAnsi"/>
        </w:rPr>
        <w:t xml:space="preserve"> billion and de</w:t>
      </w:r>
      <w:r w:rsidR="002C5AB6">
        <w:rPr>
          <w:rFonts w:asciiTheme="minorHAnsi" w:hAnsiTheme="minorHAnsi" w:cstheme="minorHAnsi"/>
        </w:rPr>
        <w:t>b</w:t>
      </w:r>
      <w:r w:rsidR="00965E9B">
        <w:rPr>
          <w:rFonts w:asciiTheme="minorHAnsi" w:hAnsiTheme="minorHAnsi" w:cstheme="minorHAnsi"/>
        </w:rPr>
        <w:t>t related to borrowings of €4.6</w:t>
      </w:r>
      <w:r w:rsidRPr="003C12D8">
        <w:rPr>
          <w:rFonts w:asciiTheme="minorHAnsi" w:hAnsiTheme="minorHAnsi" w:cstheme="minorHAnsi"/>
        </w:rPr>
        <w:t xml:space="preserve"> billion.</w:t>
      </w:r>
    </w:p>
    <w:p w14:paraId="0876DEF3" w14:textId="7F245E74" w:rsidR="00983FBF" w:rsidRPr="003C12D8" w:rsidRDefault="00E27963" w:rsidP="00DF4742">
      <w:pPr>
        <w:jc w:val="both"/>
        <w:rPr>
          <w:rFonts w:asciiTheme="minorHAnsi" w:hAnsiTheme="minorHAnsi" w:cstheme="minorHAnsi"/>
        </w:rPr>
      </w:pPr>
      <w:r>
        <w:rPr>
          <w:rFonts w:asciiTheme="minorHAnsi" w:hAnsiTheme="minorHAnsi" w:cstheme="minorHAnsi"/>
        </w:rPr>
        <w:tab/>
      </w:r>
    </w:p>
    <w:p w14:paraId="5353CE8B" w14:textId="3370574C" w:rsidR="00DF4742" w:rsidRDefault="00DF4742" w:rsidP="00DF4742">
      <w:pPr>
        <w:jc w:val="both"/>
        <w:rPr>
          <w:rFonts w:asciiTheme="minorHAnsi" w:hAnsiTheme="minorHAnsi" w:cstheme="minorHAnsi"/>
          <w:b/>
        </w:rPr>
      </w:pPr>
      <w:r w:rsidRPr="003C12D8">
        <w:rPr>
          <w:rFonts w:asciiTheme="minorHAnsi" w:hAnsiTheme="minorHAnsi" w:cstheme="minorHAnsi"/>
          <w:b/>
        </w:rPr>
        <w:t>Summary of Recent Business, Technology and Customer Announcements</w:t>
      </w:r>
    </w:p>
    <w:p w14:paraId="77D1C770" w14:textId="45DD02CE" w:rsidR="00A02664" w:rsidRDefault="00A02664" w:rsidP="00DF4742">
      <w:pPr>
        <w:jc w:val="both"/>
        <w:rPr>
          <w:rFonts w:asciiTheme="minorHAnsi" w:hAnsiTheme="minorHAnsi" w:cstheme="minorHAnsi"/>
          <w:b/>
        </w:rPr>
      </w:pPr>
    </w:p>
    <w:p w14:paraId="72C97735" w14:textId="61599FB1" w:rsidR="0064421A" w:rsidRPr="0064421A" w:rsidRDefault="0064421A" w:rsidP="0064421A">
      <w:pPr>
        <w:jc w:val="both"/>
        <w:rPr>
          <w:rFonts w:asciiTheme="minorHAnsi" w:hAnsiTheme="minorHAnsi" w:cstheme="minorHAnsi"/>
        </w:rPr>
      </w:pPr>
      <w:r>
        <w:rPr>
          <w:rFonts w:asciiTheme="minorHAnsi" w:hAnsiTheme="minorHAnsi" w:cstheme="minorHAnsi"/>
          <w:b/>
        </w:rPr>
        <w:t xml:space="preserve">On July </w:t>
      </w:r>
      <w:r w:rsidR="0044035E">
        <w:rPr>
          <w:rFonts w:asciiTheme="minorHAnsi" w:hAnsiTheme="minorHAnsi" w:cstheme="minorHAnsi"/>
          <w:b/>
        </w:rPr>
        <w:t>23</w:t>
      </w:r>
      <w:r>
        <w:rPr>
          <w:rFonts w:asciiTheme="minorHAnsi" w:hAnsiTheme="minorHAnsi" w:cstheme="minorHAnsi"/>
          <w:b/>
        </w:rPr>
        <w:t>, 2020</w:t>
      </w:r>
      <w:r w:rsidR="00BE45FE">
        <w:rPr>
          <w:rFonts w:asciiTheme="minorHAnsi" w:hAnsiTheme="minorHAnsi" w:cstheme="minorHAnsi"/>
          <w:b/>
        </w:rPr>
        <w:t>,</w:t>
      </w:r>
      <w:r>
        <w:rPr>
          <w:rFonts w:asciiTheme="minorHAnsi" w:hAnsiTheme="minorHAnsi" w:cstheme="minorHAnsi"/>
          <w:b/>
        </w:rPr>
        <w:t xml:space="preserve"> </w:t>
      </w:r>
      <w:proofErr w:type="spellStart"/>
      <w:r w:rsidRPr="0064421A">
        <w:rPr>
          <w:rFonts w:asciiTheme="minorHAnsi" w:hAnsiTheme="minorHAnsi" w:cstheme="minorHAnsi"/>
          <w:b/>
        </w:rPr>
        <w:t>Medidata</w:t>
      </w:r>
      <w:proofErr w:type="spellEnd"/>
      <w:r w:rsidRPr="0064421A">
        <w:rPr>
          <w:rFonts w:asciiTheme="minorHAnsi" w:hAnsiTheme="minorHAnsi" w:cstheme="minorHAnsi"/>
          <w:b/>
        </w:rPr>
        <w:t xml:space="preserve">, a Dassault Systèmes company, and the global leader in creating end-to-end solutions supporting the entire clinical trial process, </w:t>
      </w:r>
      <w:r>
        <w:rPr>
          <w:rFonts w:asciiTheme="minorHAnsi" w:hAnsiTheme="minorHAnsi" w:cstheme="minorHAnsi"/>
          <w:b/>
        </w:rPr>
        <w:t xml:space="preserve">and </w:t>
      </w:r>
      <w:proofErr w:type="spellStart"/>
      <w:r>
        <w:rPr>
          <w:rFonts w:asciiTheme="minorHAnsi" w:hAnsiTheme="minorHAnsi" w:cstheme="minorHAnsi"/>
          <w:b/>
        </w:rPr>
        <w:t>Moderna</w:t>
      </w:r>
      <w:proofErr w:type="spellEnd"/>
      <w:r>
        <w:rPr>
          <w:rFonts w:asciiTheme="minorHAnsi" w:hAnsiTheme="minorHAnsi" w:cstheme="minorHAnsi"/>
          <w:b/>
        </w:rPr>
        <w:t>, Inc.</w:t>
      </w:r>
      <w:r w:rsidRPr="0064421A">
        <w:rPr>
          <w:rFonts w:asciiTheme="minorHAnsi" w:hAnsiTheme="minorHAnsi" w:cstheme="minorHAnsi"/>
          <w:b/>
        </w:rPr>
        <w:t xml:space="preserve">, a clinical stage biotechnology company pioneering messenger RNA (mRNA) therapeutics and vaccines, </w:t>
      </w:r>
      <w:r>
        <w:rPr>
          <w:rFonts w:asciiTheme="minorHAnsi" w:hAnsiTheme="minorHAnsi" w:cstheme="minorHAnsi"/>
          <w:b/>
        </w:rPr>
        <w:t xml:space="preserve">announced that they </w:t>
      </w:r>
      <w:r w:rsidRPr="0064421A">
        <w:rPr>
          <w:rFonts w:asciiTheme="minorHAnsi" w:hAnsiTheme="minorHAnsi" w:cstheme="minorHAnsi"/>
          <w:b/>
        </w:rPr>
        <w:t xml:space="preserve">are </w:t>
      </w:r>
      <w:proofErr w:type="gramStart"/>
      <w:r w:rsidRPr="0064421A">
        <w:rPr>
          <w:rFonts w:asciiTheme="minorHAnsi" w:hAnsiTheme="minorHAnsi" w:cstheme="minorHAnsi"/>
          <w:b/>
        </w:rPr>
        <w:t>partnering</w:t>
      </w:r>
      <w:proofErr w:type="gramEnd"/>
      <w:r w:rsidRPr="0064421A">
        <w:rPr>
          <w:rFonts w:asciiTheme="minorHAnsi" w:hAnsiTheme="minorHAnsi" w:cstheme="minorHAnsi"/>
          <w:b/>
        </w:rPr>
        <w:t xml:space="preserve"> to accelerate the development of </w:t>
      </w:r>
      <w:proofErr w:type="spellStart"/>
      <w:r w:rsidRPr="0064421A">
        <w:rPr>
          <w:rFonts w:asciiTheme="minorHAnsi" w:hAnsiTheme="minorHAnsi" w:cstheme="minorHAnsi"/>
          <w:b/>
        </w:rPr>
        <w:t>Moderna’s</w:t>
      </w:r>
      <w:proofErr w:type="spellEnd"/>
      <w:r w:rsidRPr="0064421A">
        <w:rPr>
          <w:rFonts w:asciiTheme="minorHAnsi" w:hAnsiTheme="minorHAnsi" w:cstheme="minorHAnsi"/>
          <w:b/>
        </w:rPr>
        <w:t xml:space="preserve"> mRNA COVID-19 vaccine candidate.</w:t>
      </w:r>
      <w:r>
        <w:rPr>
          <w:rFonts w:asciiTheme="minorHAnsi" w:hAnsiTheme="minorHAnsi" w:cstheme="minorHAnsi"/>
          <w:b/>
        </w:rPr>
        <w:t xml:space="preserve"> </w:t>
      </w:r>
      <w:r w:rsidRPr="0064421A">
        <w:rPr>
          <w:rFonts w:asciiTheme="minorHAnsi" w:hAnsiTheme="minorHAnsi" w:cstheme="minorHAnsi"/>
        </w:rPr>
        <w:t xml:space="preserve">The companies are collaborating on </w:t>
      </w:r>
      <w:proofErr w:type="spellStart"/>
      <w:r w:rsidRPr="0064421A">
        <w:rPr>
          <w:rFonts w:asciiTheme="minorHAnsi" w:hAnsiTheme="minorHAnsi" w:cstheme="minorHAnsi"/>
        </w:rPr>
        <w:t>Moderna’s</w:t>
      </w:r>
      <w:proofErr w:type="spellEnd"/>
      <w:r w:rsidRPr="0064421A">
        <w:rPr>
          <w:rFonts w:asciiTheme="minorHAnsi" w:hAnsiTheme="minorHAnsi" w:cstheme="minorHAnsi"/>
        </w:rPr>
        <w:t xml:space="preserve"> mRNA-1273 trials, including its upcoming phase 3 trial - the largest COVID-19 trial of its kind to date, involving 30,000 patients. The </w:t>
      </w:r>
      <w:proofErr w:type="spellStart"/>
      <w:r w:rsidRPr="0064421A">
        <w:rPr>
          <w:rFonts w:asciiTheme="minorHAnsi" w:hAnsiTheme="minorHAnsi" w:cstheme="minorHAnsi"/>
        </w:rPr>
        <w:t>Medidata</w:t>
      </w:r>
      <w:proofErr w:type="spellEnd"/>
      <w:r w:rsidRPr="0064421A">
        <w:rPr>
          <w:rFonts w:asciiTheme="minorHAnsi" w:hAnsiTheme="minorHAnsi" w:cstheme="minorHAnsi"/>
        </w:rPr>
        <w:t xml:space="preserve"> and </w:t>
      </w:r>
      <w:proofErr w:type="spellStart"/>
      <w:r w:rsidRPr="0064421A">
        <w:rPr>
          <w:rFonts w:asciiTheme="minorHAnsi" w:hAnsiTheme="minorHAnsi" w:cstheme="minorHAnsi"/>
        </w:rPr>
        <w:t>Moderna</w:t>
      </w:r>
      <w:proofErr w:type="spellEnd"/>
      <w:r w:rsidRPr="0064421A">
        <w:rPr>
          <w:rFonts w:asciiTheme="minorHAnsi" w:hAnsiTheme="minorHAnsi" w:cstheme="minorHAnsi"/>
        </w:rPr>
        <w:t xml:space="preserve"> teams are moving forward with the speed and urgency necessitated by the global pandemic, using the world’s most innovative and scalable cloud platform for clinical development.</w:t>
      </w:r>
    </w:p>
    <w:p w14:paraId="3075B9B0" w14:textId="77777777" w:rsidR="0064421A" w:rsidRDefault="0064421A" w:rsidP="00710D16">
      <w:pPr>
        <w:jc w:val="both"/>
        <w:rPr>
          <w:rFonts w:asciiTheme="minorHAnsi" w:hAnsiTheme="minorHAnsi" w:cstheme="minorHAnsi"/>
          <w:b/>
        </w:rPr>
      </w:pPr>
    </w:p>
    <w:p w14:paraId="64AA548E" w14:textId="0725701B" w:rsidR="00710D16" w:rsidRPr="00710D16" w:rsidRDefault="00710D16" w:rsidP="003943DF">
      <w:pPr>
        <w:spacing w:after="240"/>
        <w:jc w:val="both"/>
        <w:rPr>
          <w:rFonts w:asciiTheme="minorHAnsi" w:hAnsiTheme="minorHAnsi" w:cstheme="minorHAnsi"/>
        </w:rPr>
      </w:pPr>
      <w:r w:rsidRPr="00710D16">
        <w:rPr>
          <w:rFonts w:asciiTheme="minorHAnsi" w:hAnsiTheme="minorHAnsi" w:cstheme="minorHAnsi"/>
          <w:b/>
        </w:rPr>
        <w:t xml:space="preserve">Dassault Systèmes Acquires </w:t>
      </w:r>
      <w:proofErr w:type="spellStart"/>
      <w:r w:rsidRPr="00710D16">
        <w:rPr>
          <w:rFonts w:asciiTheme="minorHAnsi" w:hAnsiTheme="minorHAnsi" w:cstheme="minorHAnsi"/>
          <w:b/>
        </w:rPr>
        <w:t>Proxem</w:t>
      </w:r>
      <w:proofErr w:type="spellEnd"/>
      <w:r w:rsidRPr="00710D16">
        <w:rPr>
          <w:rFonts w:asciiTheme="minorHAnsi" w:hAnsiTheme="minorHAnsi" w:cstheme="minorHAnsi"/>
          <w:b/>
        </w:rPr>
        <w:t xml:space="preserve"> to Extend Information Intelligence on the 3DEXPERIENCE Platform</w:t>
      </w:r>
      <w:r>
        <w:rPr>
          <w:rFonts w:asciiTheme="minorHAnsi" w:hAnsiTheme="minorHAnsi" w:cstheme="minorHAnsi"/>
          <w:b/>
        </w:rPr>
        <w:t xml:space="preserve">. </w:t>
      </w:r>
      <w:r w:rsidR="00D80547">
        <w:rPr>
          <w:rFonts w:asciiTheme="minorHAnsi" w:hAnsiTheme="minorHAnsi" w:cstheme="minorHAnsi"/>
        </w:rPr>
        <w:t xml:space="preserve">On July </w:t>
      </w:r>
      <w:r w:rsidR="0044035E">
        <w:rPr>
          <w:rFonts w:asciiTheme="minorHAnsi" w:hAnsiTheme="minorHAnsi" w:cstheme="minorHAnsi"/>
        </w:rPr>
        <w:t>23</w:t>
      </w:r>
      <w:r w:rsidR="00D80547">
        <w:rPr>
          <w:rFonts w:asciiTheme="minorHAnsi" w:hAnsiTheme="minorHAnsi" w:cstheme="minorHAnsi"/>
        </w:rPr>
        <w:t xml:space="preserve">, </w:t>
      </w:r>
      <w:proofErr w:type="gramStart"/>
      <w:r w:rsidR="00D80547">
        <w:rPr>
          <w:rFonts w:asciiTheme="minorHAnsi" w:hAnsiTheme="minorHAnsi" w:cstheme="minorHAnsi"/>
        </w:rPr>
        <w:t>2020</w:t>
      </w:r>
      <w:proofErr w:type="gramEnd"/>
      <w:r w:rsidR="00D80547">
        <w:rPr>
          <w:rFonts w:asciiTheme="minorHAnsi" w:hAnsiTheme="minorHAnsi" w:cstheme="minorHAnsi"/>
        </w:rPr>
        <w:t xml:space="preserve"> the </w:t>
      </w:r>
      <w:r w:rsidR="00A557D9">
        <w:rPr>
          <w:rFonts w:asciiTheme="minorHAnsi" w:hAnsiTheme="minorHAnsi" w:cstheme="minorHAnsi"/>
        </w:rPr>
        <w:t xml:space="preserve">Group </w:t>
      </w:r>
      <w:r w:rsidR="00D80547">
        <w:rPr>
          <w:rFonts w:asciiTheme="minorHAnsi" w:hAnsiTheme="minorHAnsi" w:cstheme="minorHAnsi"/>
        </w:rPr>
        <w:t>announced that it had</w:t>
      </w:r>
      <w:r w:rsidRPr="00710D16">
        <w:rPr>
          <w:rFonts w:asciiTheme="minorHAnsi" w:hAnsiTheme="minorHAnsi" w:cstheme="minorHAnsi"/>
        </w:rPr>
        <w:t xml:space="preserve"> completed the acquisition of </w:t>
      </w:r>
      <w:proofErr w:type="spellStart"/>
      <w:r w:rsidRPr="00710D16">
        <w:rPr>
          <w:rFonts w:asciiTheme="minorHAnsi" w:hAnsiTheme="minorHAnsi" w:cstheme="minorHAnsi"/>
        </w:rPr>
        <w:t>Proxem</w:t>
      </w:r>
      <w:proofErr w:type="spellEnd"/>
      <w:r w:rsidRPr="00710D16">
        <w:rPr>
          <w:rFonts w:asciiTheme="minorHAnsi" w:hAnsiTheme="minorHAnsi" w:cstheme="minorHAnsi"/>
        </w:rPr>
        <w:t xml:space="preserve">, a specialist in artificial intelligence-based semantic processing software and services, and provider of consumer experience analysis solutions.  With this acquisition, Dassault Systèmes extends information intelligence on the </w:t>
      </w:r>
      <w:r w:rsidRPr="001B14FE">
        <w:rPr>
          <w:rFonts w:asciiTheme="minorHAnsi" w:hAnsiTheme="minorHAnsi" w:cstheme="minorHAnsi"/>
          <w:b/>
        </w:rPr>
        <w:t>3D</w:t>
      </w:r>
      <w:r w:rsidRPr="00710D16">
        <w:rPr>
          <w:rFonts w:asciiTheme="minorHAnsi" w:hAnsiTheme="minorHAnsi" w:cstheme="minorHAnsi"/>
        </w:rPr>
        <w:t>EXPERIENCE platform to semantics with natural language processing technologies. Customers can automate the interpretation of unstructured text data to become more innovative, agile and sustainable.</w:t>
      </w:r>
      <w:r w:rsidR="001E2A12">
        <w:rPr>
          <w:rFonts w:asciiTheme="minorHAnsi" w:hAnsiTheme="minorHAnsi" w:cstheme="minorHAnsi"/>
        </w:rPr>
        <w:t xml:space="preserve"> </w:t>
      </w:r>
      <w:proofErr w:type="spellStart"/>
      <w:r w:rsidR="001E2A12">
        <w:rPr>
          <w:rFonts w:asciiTheme="minorHAnsi" w:hAnsiTheme="minorHAnsi" w:cstheme="minorHAnsi"/>
        </w:rPr>
        <w:t>Proxem</w:t>
      </w:r>
      <w:proofErr w:type="spellEnd"/>
      <w:r w:rsidR="001E2A12">
        <w:rPr>
          <w:rFonts w:asciiTheme="minorHAnsi" w:hAnsiTheme="minorHAnsi" w:cstheme="minorHAnsi"/>
        </w:rPr>
        <w:t xml:space="preserve"> customers include Air France, Air Liquide and Total among others.</w:t>
      </w:r>
    </w:p>
    <w:p w14:paraId="4B48D8E1" w14:textId="77777777" w:rsidR="00DF4742" w:rsidRPr="003C12D8" w:rsidRDefault="00DF4742" w:rsidP="00DF4742">
      <w:pPr>
        <w:jc w:val="both"/>
        <w:rPr>
          <w:rFonts w:asciiTheme="minorHAnsi" w:hAnsiTheme="minorHAnsi" w:cstheme="minorHAnsi"/>
          <w:b/>
        </w:rPr>
      </w:pPr>
      <w:r w:rsidRPr="003C12D8">
        <w:rPr>
          <w:rFonts w:asciiTheme="minorHAnsi" w:hAnsiTheme="minorHAnsi" w:cstheme="minorHAnsi"/>
          <w:b/>
        </w:rPr>
        <w:t>Today’s Webcast and Conference Call Information</w:t>
      </w:r>
    </w:p>
    <w:p w14:paraId="44B51F02" w14:textId="77777777" w:rsidR="00E655EE" w:rsidRPr="003C12D8" w:rsidRDefault="00E655EE" w:rsidP="00DF4742">
      <w:pPr>
        <w:jc w:val="both"/>
        <w:rPr>
          <w:rFonts w:asciiTheme="minorHAnsi" w:hAnsiTheme="minorHAnsi" w:cstheme="minorHAnsi"/>
          <w:b/>
        </w:rPr>
      </w:pPr>
    </w:p>
    <w:p w14:paraId="73735F73" w14:textId="7EE252E0" w:rsidR="00DF4742" w:rsidRPr="003C12D8" w:rsidRDefault="00DF4742" w:rsidP="00DF4742">
      <w:pPr>
        <w:jc w:val="both"/>
        <w:rPr>
          <w:rFonts w:asciiTheme="minorHAnsi" w:hAnsiTheme="minorHAnsi" w:cstheme="minorHAnsi"/>
        </w:rPr>
      </w:pPr>
      <w:r w:rsidRPr="003C12D8">
        <w:rPr>
          <w:rFonts w:asciiTheme="minorHAnsi" w:hAnsiTheme="minorHAnsi" w:cstheme="minorHAnsi"/>
        </w:rPr>
        <w:t xml:space="preserve">Today, </w:t>
      </w:r>
      <w:r w:rsidR="00685707" w:rsidRPr="003C12D8">
        <w:rPr>
          <w:rFonts w:asciiTheme="minorHAnsi" w:hAnsiTheme="minorHAnsi" w:cstheme="minorHAnsi"/>
        </w:rPr>
        <w:t>Thursday</w:t>
      </w:r>
      <w:r w:rsidRPr="003C12D8">
        <w:rPr>
          <w:rFonts w:asciiTheme="minorHAnsi" w:hAnsiTheme="minorHAnsi" w:cstheme="minorHAnsi"/>
        </w:rPr>
        <w:t xml:space="preserve">, </w:t>
      </w:r>
      <w:r w:rsidR="00970ED6">
        <w:rPr>
          <w:rFonts w:asciiTheme="minorHAnsi" w:hAnsiTheme="minorHAnsi" w:cstheme="minorHAnsi"/>
        </w:rPr>
        <w:t>July</w:t>
      </w:r>
      <w:r w:rsidR="00B02531">
        <w:rPr>
          <w:rFonts w:asciiTheme="minorHAnsi" w:hAnsiTheme="minorHAnsi" w:cstheme="minorHAnsi"/>
        </w:rPr>
        <w:t xml:space="preserve"> 23</w:t>
      </w:r>
      <w:r w:rsidRPr="003C12D8">
        <w:rPr>
          <w:rFonts w:asciiTheme="minorHAnsi" w:hAnsiTheme="minorHAnsi" w:cstheme="minorHAnsi"/>
        </w:rPr>
        <w:t>, 20</w:t>
      </w:r>
      <w:r w:rsidR="00EA109C" w:rsidRPr="003C12D8">
        <w:rPr>
          <w:rFonts w:asciiTheme="minorHAnsi" w:hAnsiTheme="minorHAnsi" w:cstheme="minorHAnsi"/>
        </w:rPr>
        <w:t>20</w:t>
      </w:r>
      <w:r w:rsidRPr="003C12D8">
        <w:rPr>
          <w:rFonts w:asciiTheme="minorHAnsi" w:hAnsiTheme="minorHAnsi" w:cstheme="minorHAnsi"/>
        </w:rPr>
        <w:t>, D</w:t>
      </w:r>
      <w:r w:rsidR="00756157">
        <w:rPr>
          <w:rFonts w:asciiTheme="minorHAnsi" w:hAnsiTheme="minorHAnsi" w:cstheme="minorHAnsi"/>
        </w:rPr>
        <w:t xml:space="preserve">assault Systèmes will host </w:t>
      </w:r>
      <w:r w:rsidRPr="003C12D8">
        <w:rPr>
          <w:rFonts w:asciiTheme="minorHAnsi" w:hAnsiTheme="minorHAnsi" w:cstheme="minorHAnsi"/>
        </w:rPr>
        <w:t>a webcasted</w:t>
      </w:r>
      <w:r w:rsidR="00756157">
        <w:rPr>
          <w:rFonts w:asciiTheme="minorHAnsi" w:hAnsiTheme="minorHAnsi" w:cstheme="minorHAnsi"/>
        </w:rPr>
        <w:t xml:space="preserve"> presentation</w:t>
      </w:r>
      <w:r w:rsidRPr="003C12D8">
        <w:rPr>
          <w:rFonts w:asciiTheme="minorHAnsi" w:hAnsiTheme="minorHAnsi" w:cstheme="minorHAnsi"/>
        </w:rPr>
        <w:t xml:space="preserve"> at </w:t>
      </w:r>
      <w:r w:rsidR="00756157">
        <w:rPr>
          <w:rFonts w:asciiTheme="minorHAnsi" w:hAnsiTheme="minorHAnsi" w:cstheme="minorHAnsi"/>
        </w:rPr>
        <w:t>9</w:t>
      </w:r>
      <w:r w:rsidR="00EA109C" w:rsidRPr="003C12D8">
        <w:rPr>
          <w:rFonts w:asciiTheme="minorHAnsi" w:hAnsiTheme="minorHAnsi" w:cstheme="minorHAnsi"/>
        </w:rPr>
        <w:t>:00</w:t>
      </w:r>
      <w:r w:rsidR="00756157">
        <w:rPr>
          <w:rFonts w:asciiTheme="minorHAnsi" w:hAnsiTheme="minorHAnsi" w:cstheme="minorHAnsi"/>
        </w:rPr>
        <w:t xml:space="preserve"> London Time/ 10:00</w:t>
      </w:r>
      <w:r w:rsidRPr="003C12D8">
        <w:rPr>
          <w:rFonts w:asciiTheme="minorHAnsi" w:hAnsiTheme="minorHAnsi" w:cstheme="minorHAnsi"/>
        </w:rPr>
        <w:t xml:space="preserve"> AM </w:t>
      </w:r>
      <w:r w:rsidR="00685707" w:rsidRPr="003C12D8">
        <w:rPr>
          <w:rFonts w:asciiTheme="minorHAnsi" w:hAnsiTheme="minorHAnsi" w:cstheme="minorHAnsi"/>
        </w:rPr>
        <w:t>Paris</w:t>
      </w:r>
      <w:r w:rsidR="00756157">
        <w:rPr>
          <w:rFonts w:asciiTheme="minorHAnsi" w:hAnsiTheme="minorHAnsi" w:cstheme="minorHAnsi"/>
        </w:rPr>
        <w:t xml:space="preserve"> time </w:t>
      </w:r>
      <w:r w:rsidRPr="003C12D8">
        <w:rPr>
          <w:rFonts w:asciiTheme="minorHAnsi" w:hAnsiTheme="minorHAnsi" w:cstheme="minorHAnsi"/>
        </w:rPr>
        <w:t>and will then host a conference call at 9:00 AM New York time / 3:00 PM Paris time / 2:00 PM Lo</w:t>
      </w:r>
      <w:r w:rsidR="00756157">
        <w:rPr>
          <w:rFonts w:asciiTheme="minorHAnsi" w:hAnsiTheme="minorHAnsi" w:cstheme="minorHAnsi"/>
        </w:rPr>
        <w:t>ndon time. The webcasted presentation</w:t>
      </w:r>
      <w:r w:rsidRPr="003C12D8">
        <w:rPr>
          <w:rFonts w:asciiTheme="minorHAnsi" w:hAnsiTheme="minorHAnsi" w:cstheme="minorHAnsi"/>
        </w:rPr>
        <w:t xml:space="preserve"> and conference call will be available </w:t>
      </w:r>
      <w:r w:rsidR="00AE5B27">
        <w:rPr>
          <w:rFonts w:asciiTheme="minorHAnsi" w:hAnsiTheme="minorHAnsi" w:cstheme="minorHAnsi"/>
        </w:rPr>
        <w:t>online</w:t>
      </w:r>
      <w:r w:rsidRPr="003C12D8">
        <w:rPr>
          <w:rFonts w:asciiTheme="minorHAnsi" w:hAnsiTheme="minorHAnsi" w:cstheme="minorHAnsi"/>
        </w:rPr>
        <w:t xml:space="preserve"> by accessing </w:t>
      </w:r>
      <w:hyperlink r:id="rId9" w:history="1">
        <w:r w:rsidR="00AE5B27" w:rsidRPr="00AE5B27">
          <w:rPr>
            <w:rStyle w:val="Hyperlink"/>
            <w:rFonts w:asciiTheme="minorHAnsi" w:hAnsiTheme="minorHAnsi" w:cstheme="minorHAnsi"/>
          </w:rPr>
          <w:t>www.3ds.com/investors/</w:t>
        </w:r>
      </w:hyperlink>
      <w:r w:rsidR="00E655EE" w:rsidRPr="003C12D8">
        <w:rPr>
          <w:rFonts w:asciiTheme="minorHAnsi" w:hAnsiTheme="minorHAnsi" w:cstheme="minorHAnsi"/>
        </w:rPr>
        <w:t xml:space="preserve"> </w:t>
      </w:r>
      <w:r w:rsidRPr="003C12D8">
        <w:rPr>
          <w:rFonts w:asciiTheme="minorHAnsi" w:hAnsiTheme="minorHAnsi" w:cstheme="minorHAnsi"/>
        </w:rPr>
        <w:t xml:space="preserve">. </w:t>
      </w:r>
    </w:p>
    <w:p w14:paraId="2C21A2CF" w14:textId="77777777" w:rsidR="00DF4742" w:rsidRPr="003C12D8" w:rsidRDefault="00DF4742" w:rsidP="00DF4742">
      <w:pPr>
        <w:jc w:val="both"/>
        <w:rPr>
          <w:rFonts w:asciiTheme="minorHAnsi" w:hAnsiTheme="minorHAnsi" w:cstheme="minorHAnsi"/>
        </w:rPr>
      </w:pPr>
    </w:p>
    <w:p w14:paraId="216FA58F" w14:textId="4B925030" w:rsidR="00DF4742" w:rsidRPr="003C12D8" w:rsidRDefault="00DF4742" w:rsidP="003943DF">
      <w:pPr>
        <w:spacing w:after="240"/>
        <w:jc w:val="both"/>
        <w:rPr>
          <w:rFonts w:asciiTheme="minorHAnsi" w:hAnsiTheme="minorHAnsi" w:cstheme="minorHAnsi"/>
        </w:rPr>
      </w:pPr>
      <w:r w:rsidRPr="003C12D8">
        <w:rPr>
          <w:rFonts w:asciiTheme="minorHAnsi" w:hAnsiTheme="minorHAnsi" w:cstheme="minorHAnsi"/>
        </w:rPr>
        <w:t xml:space="preserve">Additional investor information </w:t>
      </w:r>
      <w:proofErr w:type="gramStart"/>
      <w:r w:rsidRPr="003C12D8">
        <w:rPr>
          <w:rFonts w:asciiTheme="minorHAnsi" w:hAnsiTheme="minorHAnsi" w:cstheme="minorHAnsi"/>
        </w:rPr>
        <w:t>can be accessed</w:t>
      </w:r>
      <w:proofErr w:type="gramEnd"/>
      <w:r w:rsidRPr="003C12D8">
        <w:rPr>
          <w:rFonts w:asciiTheme="minorHAnsi" w:hAnsiTheme="minorHAnsi" w:cstheme="minorHAnsi"/>
        </w:rPr>
        <w:t xml:space="preserve"> at www.3ds.com/investors/ or by calling Dassault Systèmes’ Investor Relations at </w:t>
      </w:r>
      <w:r w:rsidR="001B3671">
        <w:rPr>
          <w:rFonts w:asciiTheme="minorHAnsi" w:hAnsiTheme="minorHAnsi" w:cstheme="minorHAnsi"/>
        </w:rPr>
        <w:t>+</w:t>
      </w:r>
      <w:r w:rsidRPr="003C12D8">
        <w:rPr>
          <w:rFonts w:asciiTheme="minorHAnsi" w:hAnsiTheme="minorHAnsi" w:cstheme="minorHAnsi"/>
        </w:rPr>
        <w:t>33.1.61.62.69.24.</w:t>
      </w:r>
    </w:p>
    <w:p w14:paraId="532F27EE" w14:textId="77777777" w:rsidR="00B02531" w:rsidRDefault="00B02531" w:rsidP="00DF4742">
      <w:pPr>
        <w:jc w:val="both"/>
        <w:rPr>
          <w:rFonts w:asciiTheme="minorHAnsi" w:hAnsiTheme="minorHAnsi" w:cstheme="minorHAnsi"/>
          <w:b/>
        </w:rPr>
      </w:pPr>
    </w:p>
    <w:p w14:paraId="531BAC27" w14:textId="2BE7A346" w:rsidR="00DF4742" w:rsidRDefault="00DF4742" w:rsidP="00DF4742">
      <w:pPr>
        <w:jc w:val="both"/>
        <w:rPr>
          <w:rFonts w:asciiTheme="minorHAnsi" w:hAnsiTheme="minorHAnsi" w:cstheme="minorHAnsi"/>
          <w:b/>
        </w:rPr>
      </w:pPr>
      <w:r w:rsidRPr="003C12D8">
        <w:rPr>
          <w:rFonts w:asciiTheme="minorHAnsi" w:hAnsiTheme="minorHAnsi" w:cstheme="minorHAnsi"/>
          <w:b/>
        </w:rPr>
        <w:t>Key Investor Relations Events</w:t>
      </w:r>
    </w:p>
    <w:p w14:paraId="706F7670" w14:textId="77777777" w:rsidR="003E5913" w:rsidRPr="003C12D8" w:rsidRDefault="003E5913" w:rsidP="00DF4742">
      <w:pPr>
        <w:jc w:val="both"/>
        <w:rPr>
          <w:rFonts w:asciiTheme="minorHAnsi" w:hAnsiTheme="minorHAnsi" w:cstheme="minorHAnsi"/>
          <w:b/>
        </w:rPr>
      </w:pPr>
    </w:p>
    <w:p w14:paraId="4F331210" w14:textId="4F510EB9" w:rsidR="00017EC5" w:rsidRDefault="00017EC5" w:rsidP="00DF4742">
      <w:pPr>
        <w:jc w:val="both"/>
        <w:rPr>
          <w:rFonts w:asciiTheme="minorHAnsi" w:hAnsiTheme="minorHAnsi" w:cstheme="minorHAnsi"/>
        </w:rPr>
      </w:pPr>
      <w:r w:rsidRPr="003C12D8">
        <w:rPr>
          <w:rFonts w:asciiTheme="minorHAnsi" w:hAnsiTheme="minorHAnsi" w:cstheme="minorHAnsi"/>
        </w:rPr>
        <w:t>Third Quarter 2</w:t>
      </w:r>
      <w:r w:rsidR="0054508E" w:rsidRPr="003C12D8">
        <w:rPr>
          <w:rFonts w:asciiTheme="minorHAnsi" w:hAnsiTheme="minorHAnsi" w:cstheme="minorHAnsi"/>
        </w:rPr>
        <w:t>020 Earnings Release: October 22</w:t>
      </w:r>
      <w:r w:rsidRPr="003C12D8">
        <w:rPr>
          <w:rFonts w:asciiTheme="minorHAnsi" w:hAnsiTheme="minorHAnsi" w:cstheme="minorHAnsi"/>
        </w:rPr>
        <w:t>, 2020</w:t>
      </w:r>
    </w:p>
    <w:p w14:paraId="73AEB375" w14:textId="3C3BCE53" w:rsidR="009C2AD0" w:rsidRPr="003C12D8" w:rsidRDefault="009C2AD0" w:rsidP="00DF4742">
      <w:pPr>
        <w:jc w:val="both"/>
        <w:rPr>
          <w:rFonts w:asciiTheme="minorHAnsi" w:hAnsiTheme="minorHAnsi" w:cstheme="minorHAnsi"/>
        </w:rPr>
      </w:pPr>
      <w:r>
        <w:rPr>
          <w:rFonts w:asciiTheme="minorHAnsi" w:hAnsiTheme="minorHAnsi" w:cstheme="minorHAnsi"/>
        </w:rPr>
        <w:t>Capital Market Day: November 17, 2020</w:t>
      </w:r>
    </w:p>
    <w:p w14:paraId="7548D137" w14:textId="77777777" w:rsidR="0054508E" w:rsidRPr="003C12D8" w:rsidRDefault="0054508E" w:rsidP="003943DF">
      <w:pPr>
        <w:spacing w:after="240"/>
        <w:jc w:val="both"/>
        <w:rPr>
          <w:rFonts w:asciiTheme="minorHAnsi" w:hAnsiTheme="minorHAnsi" w:cstheme="minorHAnsi"/>
        </w:rPr>
      </w:pPr>
      <w:r w:rsidRPr="003C12D8">
        <w:rPr>
          <w:rFonts w:asciiTheme="minorHAnsi" w:hAnsiTheme="minorHAnsi" w:cstheme="minorHAnsi"/>
        </w:rPr>
        <w:t>Fourth Quarter 2020 Earnings Release: February 4, 2021</w:t>
      </w:r>
    </w:p>
    <w:p w14:paraId="015C9F80" w14:textId="6D6F03E7" w:rsidR="00BE64EE" w:rsidRPr="00C53E4F" w:rsidRDefault="00BE64EE" w:rsidP="00BE64EE">
      <w:pPr>
        <w:jc w:val="both"/>
        <w:rPr>
          <w:rFonts w:asciiTheme="minorHAnsi" w:hAnsiTheme="minorHAnsi" w:cstheme="minorHAnsi"/>
        </w:rPr>
      </w:pPr>
    </w:p>
    <w:p w14:paraId="613BF306" w14:textId="4FA6F45D" w:rsidR="00DF4742" w:rsidRPr="003C12D8" w:rsidRDefault="00DF4742" w:rsidP="00DF4742">
      <w:pPr>
        <w:jc w:val="both"/>
        <w:rPr>
          <w:rFonts w:asciiTheme="minorHAnsi" w:hAnsiTheme="minorHAnsi" w:cstheme="minorHAnsi"/>
          <w:b/>
        </w:rPr>
      </w:pPr>
      <w:r w:rsidRPr="003C12D8">
        <w:rPr>
          <w:rFonts w:asciiTheme="minorHAnsi" w:hAnsiTheme="minorHAnsi" w:cstheme="minorHAnsi"/>
          <w:b/>
        </w:rPr>
        <w:t xml:space="preserve">Forward-looking Information </w:t>
      </w:r>
    </w:p>
    <w:p w14:paraId="53E72836" w14:textId="77777777" w:rsidR="00DF4742" w:rsidRPr="003C12D8" w:rsidRDefault="00DF4742" w:rsidP="00DF4742">
      <w:pPr>
        <w:jc w:val="both"/>
        <w:rPr>
          <w:rFonts w:asciiTheme="minorHAnsi" w:hAnsiTheme="minorHAnsi" w:cstheme="minorHAnsi"/>
        </w:rPr>
      </w:pPr>
      <w:r w:rsidRPr="003C12D8">
        <w:rPr>
          <w:rFonts w:asciiTheme="minorHAnsi" w:hAnsiTheme="minorHAnsi" w:cstheme="minorHAnsi"/>
        </w:rPr>
        <w:t xml:space="preserve"> </w:t>
      </w:r>
    </w:p>
    <w:p w14:paraId="65FE8332" w14:textId="77777777" w:rsidR="00EE3A6E" w:rsidRDefault="00DF4742" w:rsidP="00E87C73">
      <w:pPr>
        <w:jc w:val="both"/>
        <w:rPr>
          <w:rFonts w:asciiTheme="minorHAnsi" w:hAnsiTheme="minorHAnsi" w:cstheme="minorHAnsi"/>
        </w:rPr>
      </w:pPr>
      <w:r w:rsidRPr="003C12D8">
        <w:rPr>
          <w:rFonts w:asciiTheme="minorHAnsi" w:hAnsiTheme="minorHAnsi" w:cstheme="minorHAnsi"/>
        </w:rPr>
        <w:t xml:space="preserve">Statements herein that are not historical facts but express expectations or objectives for the future, including but not limited to statements regarding the </w:t>
      </w:r>
      <w:r w:rsidR="00A36854" w:rsidRPr="003C12D8">
        <w:rPr>
          <w:rFonts w:asciiTheme="minorHAnsi" w:hAnsiTheme="minorHAnsi" w:cstheme="minorHAnsi"/>
        </w:rPr>
        <w:t>Group</w:t>
      </w:r>
      <w:r w:rsidRPr="003C12D8">
        <w:rPr>
          <w:rFonts w:asciiTheme="minorHAnsi" w:hAnsiTheme="minorHAnsi" w:cstheme="minorHAnsi"/>
        </w:rPr>
        <w:t>’s non-IFRS financial performance objectives</w:t>
      </w:r>
      <w:r w:rsidR="00EE3A6E">
        <w:rPr>
          <w:rFonts w:asciiTheme="minorHAnsi" w:hAnsiTheme="minorHAnsi" w:cstheme="minorHAnsi"/>
        </w:rPr>
        <w:t xml:space="preserve"> or framework</w:t>
      </w:r>
      <w:r w:rsidRPr="003C12D8">
        <w:rPr>
          <w:rFonts w:asciiTheme="minorHAnsi" w:hAnsiTheme="minorHAnsi" w:cstheme="minorHAnsi"/>
        </w:rPr>
        <w:t xml:space="preserve">, are forward-looking statements. Such forward-looking statements </w:t>
      </w:r>
      <w:proofErr w:type="gramStart"/>
      <w:r w:rsidRPr="003C12D8">
        <w:rPr>
          <w:rFonts w:asciiTheme="minorHAnsi" w:hAnsiTheme="minorHAnsi" w:cstheme="minorHAnsi"/>
        </w:rPr>
        <w:t>are</w:t>
      </w:r>
      <w:r w:rsidR="00A65377">
        <w:rPr>
          <w:rFonts w:asciiTheme="minorHAnsi" w:hAnsiTheme="minorHAnsi" w:cstheme="minorHAnsi"/>
        </w:rPr>
        <w:t xml:space="preserve"> </w:t>
      </w:r>
      <w:r w:rsidRPr="003C12D8">
        <w:rPr>
          <w:rFonts w:asciiTheme="minorHAnsi" w:hAnsiTheme="minorHAnsi" w:cstheme="minorHAnsi"/>
        </w:rPr>
        <w:t>based</w:t>
      </w:r>
      <w:proofErr w:type="gramEnd"/>
      <w:r w:rsidRPr="003C12D8">
        <w:rPr>
          <w:rFonts w:asciiTheme="minorHAnsi" w:hAnsiTheme="minorHAnsi" w:cstheme="minorHAnsi"/>
        </w:rPr>
        <w:t xml:space="preserve"> on Dassault Systèmes management's current views and assumptions and involve known and unknown risks and uncertainties. Actual results or performances may differ materially from those in such statements due to a range of factors.</w:t>
      </w:r>
    </w:p>
    <w:p w14:paraId="6FFBFE5C" w14:textId="77777777" w:rsidR="00EE3A6E" w:rsidRDefault="00EE3A6E" w:rsidP="00E87C73">
      <w:pPr>
        <w:jc w:val="both"/>
        <w:rPr>
          <w:rFonts w:asciiTheme="minorHAnsi" w:hAnsiTheme="minorHAnsi" w:cstheme="minorHAnsi"/>
        </w:rPr>
      </w:pPr>
    </w:p>
    <w:p w14:paraId="6738BD51" w14:textId="764A51B1" w:rsidR="00EE3A6E" w:rsidRDefault="00EE3A6E" w:rsidP="00EE3A6E">
      <w:pPr>
        <w:jc w:val="both"/>
        <w:rPr>
          <w:rFonts w:asciiTheme="minorHAnsi" w:hAnsiTheme="minorHAnsi" w:cstheme="minorHAnsi"/>
        </w:rPr>
      </w:pPr>
      <w:r>
        <w:rPr>
          <w:rFonts w:asciiTheme="minorHAnsi" w:hAnsiTheme="minorHAnsi" w:cstheme="minorHAnsi"/>
        </w:rPr>
        <w:t xml:space="preserve">The Group’s current framework for 2020 takes into consideration, among other things, an uncertain global economic environment. </w:t>
      </w:r>
      <w:r w:rsidRPr="00EE3A6E">
        <w:rPr>
          <w:rFonts w:asciiTheme="minorHAnsi" w:hAnsiTheme="minorHAnsi" w:cstheme="minorHAnsi"/>
        </w:rPr>
        <w:t>In light of the uncertainties regarding economic, business,</w:t>
      </w:r>
      <w:r>
        <w:rPr>
          <w:rFonts w:asciiTheme="minorHAnsi" w:hAnsiTheme="minorHAnsi" w:cstheme="minorHAnsi"/>
        </w:rPr>
        <w:t xml:space="preserve"> </w:t>
      </w:r>
      <w:r w:rsidRPr="00EE3A6E">
        <w:rPr>
          <w:rFonts w:asciiTheme="minorHAnsi" w:hAnsiTheme="minorHAnsi" w:cstheme="minorHAnsi"/>
        </w:rPr>
        <w:t>social, health and geopolitical conditions at the global level,</w:t>
      </w:r>
      <w:r>
        <w:rPr>
          <w:rFonts w:asciiTheme="minorHAnsi" w:hAnsiTheme="minorHAnsi" w:cstheme="minorHAnsi"/>
        </w:rPr>
        <w:t xml:space="preserve"> </w:t>
      </w:r>
      <w:r w:rsidRPr="00EE3A6E">
        <w:rPr>
          <w:rFonts w:asciiTheme="minorHAnsi" w:hAnsiTheme="minorHAnsi" w:cstheme="minorHAnsi"/>
        </w:rPr>
        <w:t>Dassault Systèmes’ revenue, net earnings and cash flows may</w:t>
      </w:r>
      <w:r w:rsidR="005B1444">
        <w:rPr>
          <w:rFonts w:asciiTheme="minorHAnsi" w:hAnsiTheme="minorHAnsi" w:cstheme="minorHAnsi"/>
        </w:rPr>
        <w:t xml:space="preserve"> </w:t>
      </w:r>
      <w:r w:rsidRPr="00EE3A6E">
        <w:rPr>
          <w:rFonts w:asciiTheme="minorHAnsi" w:hAnsiTheme="minorHAnsi" w:cstheme="minorHAnsi"/>
        </w:rPr>
        <w:t>grow more slowly, whether on an annual or quarterly basis,</w:t>
      </w:r>
      <w:r>
        <w:rPr>
          <w:rFonts w:asciiTheme="minorHAnsi" w:hAnsiTheme="minorHAnsi" w:cstheme="minorHAnsi"/>
        </w:rPr>
        <w:t xml:space="preserve"> </w:t>
      </w:r>
      <w:r w:rsidRPr="00EE3A6E">
        <w:rPr>
          <w:rFonts w:asciiTheme="minorHAnsi" w:hAnsiTheme="minorHAnsi" w:cstheme="minorHAnsi"/>
        </w:rPr>
        <w:t>mainly due to the following factors:</w:t>
      </w:r>
    </w:p>
    <w:p w14:paraId="06C3C810" w14:textId="77777777" w:rsidR="00EE3A6E" w:rsidRDefault="00EE3A6E" w:rsidP="00EE3A6E">
      <w:pPr>
        <w:jc w:val="both"/>
        <w:rPr>
          <w:rFonts w:asciiTheme="minorHAnsi" w:hAnsiTheme="minorHAnsi" w:cstheme="minorHAnsi"/>
        </w:rPr>
      </w:pPr>
    </w:p>
    <w:p w14:paraId="1FDEB60D" w14:textId="424A75A7" w:rsidR="00EE3A6E" w:rsidRDefault="00EE3A6E" w:rsidP="00BD19A0">
      <w:pPr>
        <w:pStyle w:val="ListParagraph"/>
        <w:numPr>
          <w:ilvl w:val="0"/>
          <w:numId w:val="49"/>
        </w:numPr>
        <w:spacing w:after="0" w:line="240" w:lineRule="auto"/>
        <w:ind w:left="714" w:hanging="357"/>
        <w:jc w:val="both"/>
        <w:rPr>
          <w:rFonts w:cstheme="minorHAnsi"/>
        </w:rPr>
      </w:pPr>
      <w:proofErr w:type="gramStart"/>
      <w:r w:rsidRPr="0033370A">
        <w:rPr>
          <w:rFonts w:cstheme="minorHAnsi"/>
        </w:rPr>
        <w:t>the</w:t>
      </w:r>
      <w:proofErr w:type="gramEnd"/>
      <w:r w:rsidRPr="0033370A">
        <w:rPr>
          <w:rFonts w:cstheme="minorHAnsi"/>
        </w:rPr>
        <w:t xml:space="preserve"> deployment of Dassault Systèmes’ solutions may represent a large portion of a customer’s investments in software technology. Decisions to make such an investment </w:t>
      </w:r>
      <w:proofErr w:type="gramStart"/>
      <w:r w:rsidRPr="0033370A">
        <w:rPr>
          <w:rFonts w:cstheme="minorHAnsi"/>
        </w:rPr>
        <w:t>are impacted</w:t>
      </w:r>
      <w:proofErr w:type="gramEnd"/>
      <w:r w:rsidRPr="0033370A">
        <w:rPr>
          <w:rFonts w:cstheme="minorHAnsi"/>
        </w:rPr>
        <w:t xml:space="preserve"> by the economic environment in which the customers operate. Uncertain global geopolitical, economic and health conditions and the lack of visibility or the lack of financial resources may cause some customers, e.g. within</w:t>
      </w:r>
      <w:r w:rsidR="0033370A" w:rsidRPr="0033370A">
        <w:rPr>
          <w:rFonts w:cstheme="minorHAnsi"/>
        </w:rPr>
        <w:t xml:space="preserve"> </w:t>
      </w:r>
      <w:r w:rsidRPr="0033370A">
        <w:rPr>
          <w:rFonts w:cstheme="minorHAnsi"/>
        </w:rPr>
        <w:t>automotive, aerospace or natural resources industries, to reduce, postpone or terminate their investments, or to reduce or not renew ongoing paid maintenance for their installed base, which impact larger customers’ revenue with their respective sub-contractors; the sales cycle of Dassault Systèmes’ products – already relatively long due to the strategic nature of such investments for customers – could further lengthen; and</w:t>
      </w:r>
    </w:p>
    <w:p w14:paraId="3DFAD8F4" w14:textId="77777777" w:rsidR="00F705E3" w:rsidRDefault="00F705E3" w:rsidP="00BD19A0">
      <w:pPr>
        <w:pStyle w:val="ListParagraph"/>
        <w:numPr>
          <w:ilvl w:val="0"/>
          <w:numId w:val="49"/>
        </w:numPr>
        <w:spacing w:after="0" w:line="240" w:lineRule="auto"/>
        <w:ind w:left="714" w:hanging="357"/>
        <w:jc w:val="both"/>
        <w:rPr>
          <w:rFonts w:cstheme="minorHAnsi"/>
        </w:rPr>
      </w:pPr>
      <w:r w:rsidRPr="00F705E3">
        <w:rPr>
          <w:rFonts w:cstheme="minorHAnsi"/>
        </w:rPr>
        <w:t>the political, economic and monetary situation in certain geographic regions where Dassault Systèmes operates could become more volatile and, for example, result in stricter export compliance rules or the modification of current tariff regimes;</w:t>
      </w:r>
    </w:p>
    <w:p w14:paraId="5B61E660" w14:textId="3D906A33" w:rsidR="00CA5513" w:rsidRDefault="00484DF4" w:rsidP="00BD19A0">
      <w:pPr>
        <w:pStyle w:val="ListParagraph"/>
        <w:numPr>
          <w:ilvl w:val="0"/>
          <w:numId w:val="49"/>
        </w:numPr>
        <w:spacing w:after="0" w:line="240" w:lineRule="auto"/>
        <w:ind w:left="714" w:hanging="357"/>
        <w:jc w:val="both"/>
        <w:rPr>
          <w:rFonts w:cstheme="minorHAnsi"/>
        </w:rPr>
      </w:pPr>
      <w:proofErr w:type="gramStart"/>
      <w:r w:rsidRPr="00484DF4">
        <w:rPr>
          <w:rFonts w:cstheme="minorHAnsi"/>
        </w:rPr>
        <w:t>health</w:t>
      </w:r>
      <w:proofErr w:type="gramEnd"/>
      <w:r w:rsidRPr="00484DF4">
        <w:rPr>
          <w:rFonts w:cstheme="minorHAnsi"/>
        </w:rPr>
        <w:t xml:space="preserve"> conditions in some geographic areas where Dassault Systèmes operates will impact the economic situation of those regions. Specifically, it is not possible to predict the impact, length and scope of damages originating from the </w:t>
      </w:r>
      <w:r w:rsidR="00330AA2">
        <w:rPr>
          <w:rFonts w:cstheme="minorHAnsi"/>
        </w:rPr>
        <w:t>COVID-19</w:t>
      </w:r>
      <w:r w:rsidR="00330AA2" w:rsidRPr="00484DF4">
        <w:rPr>
          <w:rFonts w:cstheme="minorHAnsi"/>
        </w:rPr>
        <w:t xml:space="preserve"> </w:t>
      </w:r>
      <w:r w:rsidRPr="00484DF4">
        <w:rPr>
          <w:rFonts w:cstheme="minorHAnsi"/>
        </w:rPr>
        <w:t xml:space="preserve">pandemic as of issuance date of this document. Health conditions, including the </w:t>
      </w:r>
      <w:r w:rsidR="00CE3127">
        <w:rPr>
          <w:rFonts w:cstheme="minorHAnsi"/>
        </w:rPr>
        <w:t>COVID</w:t>
      </w:r>
      <w:r w:rsidRPr="00484DF4">
        <w:rPr>
          <w:rFonts w:cstheme="minorHAnsi"/>
        </w:rPr>
        <w:t>-19 pandemic, may present risks for health and ability to travel for Dassault Systèmes employees; and</w:t>
      </w:r>
    </w:p>
    <w:p w14:paraId="55CFD3A1" w14:textId="4539EE44" w:rsidR="00484DF4" w:rsidRDefault="00484DF4" w:rsidP="00BD19A0">
      <w:pPr>
        <w:pStyle w:val="ListParagraph"/>
        <w:numPr>
          <w:ilvl w:val="0"/>
          <w:numId w:val="49"/>
        </w:numPr>
        <w:spacing w:after="0" w:line="240" w:lineRule="auto"/>
        <w:ind w:left="714" w:hanging="357"/>
        <w:jc w:val="both"/>
        <w:rPr>
          <w:rFonts w:cstheme="minorHAnsi"/>
        </w:rPr>
      </w:pPr>
      <w:proofErr w:type="gramStart"/>
      <w:r w:rsidRPr="00484DF4">
        <w:rPr>
          <w:rFonts w:cstheme="minorHAnsi"/>
        </w:rPr>
        <w:t>continued</w:t>
      </w:r>
      <w:proofErr w:type="gramEnd"/>
      <w:r w:rsidRPr="00484DF4">
        <w:rPr>
          <w:rFonts w:cstheme="minorHAnsi"/>
        </w:rPr>
        <w:t xml:space="preserve"> pressure or volatility on raw materials and energy prices could also slow down Dassault Systèmes’ diversification efforts in new industries.</w:t>
      </w:r>
    </w:p>
    <w:p w14:paraId="5A767706" w14:textId="77777777" w:rsidR="00BD19A0" w:rsidRPr="00484DF4" w:rsidRDefault="00BD19A0" w:rsidP="00BD19A0">
      <w:pPr>
        <w:pStyle w:val="ListParagraph"/>
        <w:spacing w:after="0" w:line="240" w:lineRule="auto"/>
        <w:ind w:left="714"/>
        <w:jc w:val="both"/>
        <w:rPr>
          <w:rFonts w:cstheme="minorHAnsi"/>
        </w:rPr>
      </w:pPr>
    </w:p>
    <w:p w14:paraId="20F6B0C4" w14:textId="23E7356D" w:rsidR="00484DF4" w:rsidRDefault="00484DF4" w:rsidP="00484DF4">
      <w:pPr>
        <w:jc w:val="both"/>
        <w:rPr>
          <w:rFonts w:cstheme="minorHAnsi"/>
        </w:rPr>
      </w:pPr>
      <w:r w:rsidRPr="00484DF4">
        <w:rPr>
          <w:rFonts w:cstheme="minorHAnsi"/>
        </w:rPr>
        <w:t xml:space="preserve">Dassault Systèmes makes every effort to take into consideration this uncertain macroeconomic outlook. Dassault Systèmes’ business results, however, may not develop as anticipated. Furthermore, due to factors affecting sales of Dassault Systèmes’ products and services, there may be a substantial time lag between an improvement in global economic and business conditions and an upswing in the </w:t>
      </w:r>
      <w:r w:rsidR="00A557D9">
        <w:rPr>
          <w:rFonts w:cstheme="minorHAnsi"/>
        </w:rPr>
        <w:t>Group</w:t>
      </w:r>
      <w:r w:rsidR="00A557D9" w:rsidRPr="00484DF4">
        <w:rPr>
          <w:rFonts w:cstheme="minorHAnsi"/>
        </w:rPr>
        <w:t>’s</w:t>
      </w:r>
      <w:r w:rsidR="00A557D9">
        <w:rPr>
          <w:rFonts w:cstheme="minorHAnsi"/>
        </w:rPr>
        <w:t xml:space="preserve"> </w:t>
      </w:r>
      <w:r w:rsidR="00A557D9" w:rsidRPr="00484DF4">
        <w:rPr>
          <w:rFonts w:cstheme="minorHAnsi"/>
        </w:rPr>
        <w:t xml:space="preserve"> </w:t>
      </w:r>
      <w:r w:rsidR="00A557D9">
        <w:rPr>
          <w:rFonts w:cstheme="minorHAnsi"/>
        </w:rPr>
        <w:t xml:space="preserve"> </w:t>
      </w:r>
      <w:r w:rsidR="00CA5513">
        <w:rPr>
          <w:rFonts w:cstheme="minorHAnsi"/>
        </w:rPr>
        <w:t>b</w:t>
      </w:r>
      <w:r w:rsidRPr="00484DF4">
        <w:rPr>
          <w:rFonts w:cstheme="minorHAnsi"/>
        </w:rPr>
        <w:t>usiness results.</w:t>
      </w:r>
    </w:p>
    <w:p w14:paraId="32E80A8C" w14:textId="77777777" w:rsidR="004C3898" w:rsidRDefault="004C3898" w:rsidP="00484DF4">
      <w:pPr>
        <w:jc w:val="both"/>
        <w:rPr>
          <w:rFonts w:cstheme="minorHAnsi"/>
        </w:rPr>
      </w:pPr>
    </w:p>
    <w:p w14:paraId="0AE9714F" w14:textId="4AE70AA9" w:rsidR="004C3898" w:rsidRPr="00484DF4" w:rsidRDefault="004C3898" w:rsidP="004C3898">
      <w:pPr>
        <w:jc w:val="both"/>
        <w:rPr>
          <w:rFonts w:asciiTheme="minorHAnsi" w:hAnsiTheme="minorHAnsi" w:cstheme="minorHAnsi"/>
        </w:rPr>
      </w:pPr>
      <w:r w:rsidRPr="004C3898">
        <w:rPr>
          <w:rFonts w:asciiTheme="minorHAnsi" w:hAnsiTheme="minorHAnsi" w:cstheme="minorHAnsi"/>
        </w:rPr>
        <w:t xml:space="preserve">The economic context (as notably caused by the </w:t>
      </w:r>
      <w:r w:rsidR="00887878">
        <w:rPr>
          <w:rFonts w:asciiTheme="minorHAnsi" w:hAnsiTheme="minorHAnsi" w:cstheme="minorHAnsi"/>
        </w:rPr>
        <w:t>COVID</w:t>
      </w:r>
      <w:r w:rsidRPr="004C3898">
        <w:rPr>
          <w:rFonts w:asciiTheme="minorHAnsi" w:hAnsiTheme="minorHAnsi" w:cstheme="minorHAnsi"/>
        </w:rPr>
        <w:t>-19</w:t>
      </w:r>
      <w:r>
        <w:rPr>
          <w:rFonts w:asciiTheme="minorHAnsi" w:hAnsiTheme="minorHAnsi" w:cstheme="minorHAnsi"/>
        </w:rPr>
        <w:t xml:space="preserve"> </w:t>
      </w:r>
      <w:r w:rsidRPr="004C3898">
        <w:rPr>
          <w:rFonts w:asciiTheme="minorHAnsi" w:hAnsiTheme="minorHAnsi" w:cstheme="minorHAnsi"/>
        </w:rPr>
        <w:t xml:space="preserve">pandemic crisis) may also adversely </w:t>
      </w:r>
      <w:proofErr w:type="gramStart"/>
      <w:r w:rsidRPr="004C3898">
        <w:rPr>
          <w:rFonts w:asciiTheme="minorHAnsi" w:hAnsiTheme="minorHAnsi" w:cstheme="minorHAnsi"/>
        </w:rPr>
        <w:t>impact</w:t>
      </w:r>
      <w:proofErr w:type="gramEnd"/>
      <w:r w:rsidRPr="004C3898">
        <w:rPr>
          <w:rFonts w:asciiTheme="minorHAnsi" w:hAnsiTheme="minorHAnsi" w:cstheme="minorHAnsi"/>
        </w:rPr>
        <w:t xml:space="preserve"> the financial</w:t>
      </w:r>
      <w:r>
        <w:rPr>
          <w:rFonts w:asciiTheme="minorHAnsi" w:hAnsiTheme="minorHAnsi" w:cstheme="minorHAnsi"/>
        </w:rPr>
        <w:t xml:space="preserve"> </w:t>
      </w:r>
      <w:r w:rsidRPr="004C3898">
        <w:rPr>
          <w:rFonts w:asciiTheme="minorHAnsi" w:hAnsiTheme="minorHAnsi" w:cstheme="minorHAnsi"/>
        </w:rPr>
        <w:t>situation or financing capabilities of the Dassault Systèmes’</w:t>
      </w:r>
      <w:r>
        <w:rPr>
          <w:rFonts w:asciiTheme="minorHAnsi" w:hAnsiTheme="minorHAnsi" w:cstheme="minorHAnsi"/>
        </w:rPr>
        <w:t xml:space="preserve"> </w:t>
      </w:r>
      <w:r w:rsidRPr="004C3898">
        <w:rPr>
          <w:rFonts w:asciiTheme="minorHAnsi" w:hAnsiTheme="minorHAnsi" w:cstheme="minorHAnsi"/>
        </w:rPr>
        <w:t>existing and potential customers, commercial and technology</w:t>
      </w:r>
      <w:r>
        <w:rPr>
          <w:rFonts w:asciiTheme="minorHAnsi" w:hAnsiTheme="minorHAnsi" w:cstheme="minorHAnsi"/>
        </w:rPr>
        <w:t xml:space="preserve"> </w:t>
      </w:r>
      <w:r w:rsidRPr="004C3898">
        <w:rPr>
          <w:rFonts w:asciiTheme="minorHAnsi" w:hAnsiTheme="minorHAnsi" w:cstheme="minorHAnsi"/>
        </w:rPr>
        <w:t>partners, some of whom may be forced to temporarily close</w:t>
      </w:r>
      <w:r>
        <w:rPr>
          <w:rFonts w:asciiTheme="minorHAnsi" w:hAnsiTheme="minorHAnsi" w:cstheme="minorHAnsi"/>
        </w:rPr>
        <w:t xml:space="preserve"> </w:t>
      </w:r>
      <w:r w:rsidRPr="004C3898">
        <w:rPr>
          <w:rFonts w:asciiTheme="minorHAnsi" w:hAnsiTheme="minorHAnsi" w:cstheme="minorHAnsi"/>
        </w:rPr>
        <w:t>sites or cease operations due to cash flow and profitability</w:t>
      </w:r>
      <w:r>
        <w:rPr>
          <w:rFonts w:asciiTheme="minorHAnsi" w:hAnsiTheme="minorHAnsi" w:cstheme="minorHAnsi"/>
        </w:rPr>
        <w:t xml:space="preserve"> </w:t>
      </w:r>
      <w:r w:rsidRPr="004C3898">
        <w:rPr>
          <w:rFonts w:asciiTheme="minorHAnsi" w:hAnsiTheme="minorHAnsi" w:cstheme="minorHAnsi"/>
        </w:rPr>
        <w:t>issues. Dassault Systèmes’ ability to collect outstanding</w:t>
      </w:r>
      <w:r>
        <w:rPr>
          <w:rFonts w:asciiTheme="minorHAnsi" w:hAnsiTheme="minorHAnsi" w:cstheme="minorHAnsi"/>
        </w:rPr>
        <w:t xml:space="preserve"> </w:t>
      </w:r>
      <w:r w:rsidRPr="004C3898">
        <w:rPr>
          <w:rFonts w:asciiTheme="minorHAnsi" w:hAnsiTheme="minorHAnsi" w:cstheme="minorHAnsi"/>
        </w:rPr>
        <w:t xml:space="preserve">receivables </w:t>
      </w:r>
      <w:proofErr w:type="gramStart"/>
      <w:r w:rsidRPr="004C3898">
        <w:rPr>
          <w:rFonts w:asciiTheme="minorHAnsi" w:hAnsiTheme="minorHAnsi" w:cstheme="minorHAnsi"/>
        </w:rPr>
        <w:t>may be affected</w:t>
      </w:r>
      <w:proofErr w:type="gramEnd"/>
      <w:r w:rsidRPr="004C3898">
        <w:rPr>
          <w:rFonts w:asciiTheme="minorHAnsi" w:hAnsiTheme="minorHAnsi" w:cstheme="minorHAnsi"/>
        </w:rPr>
        <w:t>. In addition, the economic</w:t>
      </w:r>
      <w:r>
        <w:rPr>
          <w:rFonts w:asciiTheme="minorHAnsi" w:hAnsiTheme="minorHAnsi" w:cstheme="minorHAnsi"/>
        </w:rPr>
        <w:t xml:space="preserve"> </w:t>
      </w:r>
      <w:r w:rsidRPr="004C3898">
        <w:rPr>
          <w:rFonts w:asciiTheme="minorHAnsi" w:hAnsiTheme="minorHAnsi" w:cstheme="minorHAnsi"/>
        </w:rPr>
        <w:t>environment could generate increased price pressure, as</w:t>
      </w:r>
      <w:r>
        <w:rPr>
          <w:rFonts w:asciiTheme="minorHAnsi" w:hAnsiTheme="minorHAnsi" w:cstheme="minorHAnsi"/>
        </w:rPr>
        <w:t xml:space="preserve"> </w:t>
      </w:r>
      <w:r w:rsidRPr="004C3898">
        <w:rPr>
          <w:rFonts w:asciiTheme="minorHAnsi" w:hAnsiTheme="minorHAnsi" w:cstheme="minorHAnsi"/>
        </w:rPr>
        <w:t>customers seek lower prices from various competitors, which</w:t>
      </w:r>
      <w:r>
        <w:rPr>
          <w:rFonts w:asciiTheme="minorHAnsi" w:hAnsiTheme="minorHAnsi" w:cstheme="minorHAnsi"/>
        </w:rPr>
        <w:t xml:space="preserve"> </w:t>
      </w:r>
      <w:r w:rsidRPr="004C3898">
        <w:rPr>
          <w:rFonts w:asciiTheme="minorHAnsi" w:hAnsiTheme="minorHAnsi" w:cstheme="minorHAnsi"/>
        </w:rPr>
        <w:t xml:space="preserve">could negatively </w:t>
      </w:r>
      <w:proofErr w:type="gramStart"/>
      <w:r w:rsidRPr="004C3898">
        <w:rPr>
          <w:rFonts w:asciiTheme="minorHAnsi" w:hAnsiTheme="minorHAnsi" w:cstheme="minorHAnsi"/>
        </w:rPr>
        <w:t>impact</w:t>
      </w:r>
      <w:proofErr w:type="gramEnd"/>
      <w:r w:rsidRPr="004C3898">
        <w:rPr>
          <w:rFonts w:asciiTheme="minorHAnsi" w:hAnsiTheme="minorHAnsi" w:cstheme="minorHAnsi"/>
        </w:rPr>
        <w:t xml:space="preserve"> Dassault Systèmes</w:t>
      </w:r>
      <w:r w:rsidR="00887878">
        <w:rPr>
          <w:rFonts w:asciiTheme="minorHAnsi" w:hAnsiTheme="minorHAnsi" w:cstheme="minorHAnsi"/>
        </w:rPr>
        <w:t>’</w:t>
      </w:r>
      <w:r w:rsidRPr="004C3898">
        <w:rPr>
          <w:rFonts w:asciiTheme="minorHAnsi" w:hAnsiTheme="minorHAnsi" w:cstheme="minorHAnsi"/>
        </w:rPr>
        <w:t xml:space="preserve"> revenue,</w:t>
      </w:r>
      <w:r>
        <w:rPr>
          <w:rFonts w:asciiTheme="minorHAnsi" w:hAnsiTheme="minorHAnsi" w:cstheme="minorHAnsi"/>
        </w:rPr>
        <w:t xml:space="preserve"> </w:t>
      </w:r>
      <w:r w:rsidRPr="004C3898">
        <w:rPr>
          <w:rFonts w:asciiTheme="minorHAnsi" w:hAnsiTheme="minorHAnsi" w:cstheme="minorHAnsi"/>
        </w:rPr>
        <w:t>financial performance and market position.</w:t>
      </w:r>
    </w:p>
    <w:p w14:paraId="38AC8C03" w14:textId="77777777" w:rsidR="00EE3A6E" w:rsidRDefault="00EE3A6E" w:rsidP="00E87C73">
      <w:pPr>
        <w:jc w:val="both"/>
        <w:rPr>
          <w:rFonts w:asciiTheme="minorHAnsi" w:hAnsiTheme="minorHAnsi" w:cstheme="minorHAnsi"/>
        </w:rPr>
      </w:pPr>
    </w:p>
    <w:p w14:paraId="4E841E4A" w14:textId="7EB358BD" w:rsidR="00DF4742" w:rsidRPr="003C12D8" w:rsidRDefault="00DF4742" w:rsidP="00E87C73">
      <w:pPr>
        <w:jc w:val="both"/>
        <w:rPr>
          <w:rFonts w:asciiTheme="minorHAnsi" w:hAnsiTheme="minorHAnsi" w:cstheme="minorHAnsi"/>
        </w:rPr>
      </w:pPr>
      <w:r w:rsidRPr="003C12D8">
        <w:rPr>
          <w:rFonts w:asciiTheme="minorHAnsi" w:hAnsiTheme="minorHAnsi" w:cstheme="minorHAnsi"/>
        </w:rPr>
        <w:t xml:space="preserve">The </w:t>
      </w:r>
      <w:r w:rsidR="00A36854" w:rsidRPr="003C12D8">
        <w:rPr>
          <w:rFonts w:asciiTheme="minorHAnsi" w:hAnsiTheme="minorHAnsi" w:cstheme="minorHAnsi"/>
        </w:rPr>
        <w:t>Group</w:t>
      </w:r>
      <w:r w:rsidRPr="003C12D8">
        <w:rPr>
          <w:rFonts w:asciiTheme="minorHAnsi" w:hAnsiTheme="minorHAnsi" w:cstheme="minorHAnsi"/>
        </w:rPr>
        <w:t xml:space="preserve">’s actual results or performance </w:t>
      </w:r>
      <w:proofErr w:type="gramStart"/>
      <w:r w:rsidRPr="003C12D8">
        <w:rPr>
          <w:rFonts w:asciiTheme="minorHAnsi" w:hAnsiTheme="minorHAnsi" w:cstheme="minorHAnsi"/>
        </w:rPr>
        <w:t>may also be materially negatively affected</w:t>
      </w:r>
      <w:proofErr w:type="gramEnd"/>
      <w:r w:rsidRPr="003C12D8">
        <w:rPr>
          <w:rFonts w:asciiTheme="minorHAnsi" w:hAnsiTheme="minorHAnsi" w:cstheme="minorHAnsi"/>
        </w:rPr>
        <w:t xml:space="preserve"> by numerous risks and uncertainties, as described in the “R</w:t>
      </w:r>
      <w:r w:rsidR="00616418">
        <w:rPr>
          <w:rFonts w:asciiTheme="minorHAnsi" w:hAnsiTheme="minorHAnsi" w:cstheme="minorHAnsi"/>
        </w:rPr>
        <w:t>isk Factors” section of the 2019</w:t>
      </w:r>
      <w:r w:rsidR="00E87C73">
        <w:rPr>
          <w:rFonts w:asciiTheme="minorHAnsi" w:hAnsiTheme="minorHAnsi" w:cstheme="minorHAnsi"/>
        </w:rPr>
        <w:t xml:space="preserve"> </w:t>
      </w:r>
      <w:r w:rsidR="00E87C73" w:rsidRPr="00E87C73">
        <w:rPr>
          <w:rFonts w:asciiTheme="minorHAnsi" w:hAnsiTheme="minorHAnsi" w:cstheme="minorHAnsi"/>
        </w:rPr>
        <w:t>Document</w:t>
      </w:r>
      <w:r w:rsidR="00E87C73">
        <w:rPr>
          <w:rFonts w:asciiTheme="minorHAnsi" w:hAnsiTheme="minorHAnsi" w:cstheme="minorHAnsi"/>
        </w:rPr>
        <w:t xml:space="preserve"> </w:t>
      </w:r>
      <w:proofErr w:type="spellStart"/>
      <w:r w:rsidR="00E87C73" w:rsidRPr="00E87C73">
        <w:rPr>
          <w:rFonts w:asciiTheme="minorHAnsi" w:hAnsiTheme="minorHAnsi" w:cstheme="minorHAnsi"/>
        </w:rPr>
        <w:t>d'enregistrement</w:t>
      </w:r>
      <w:proofErr w:type="spellEnd"/>
      <w:r w:rsidR="00E87C73">
        <w:rPr>
          <w:rFonts w:asciiTheme="minorHAnsi" w:hAnsiTheme="minorHAnsi" w:cstheme="minorHAnsi"/>
        </w:rPr>
        <w:t xml:space="preserve"> </w:t>
      </w:r>
      <w:proofErr w:type="spellStart"/>
      <w:r w:rsidR="00E87C73" w:rsidRPr="00E87C73">
        <w:rPr>
          <w:rFonts w:asciiTheme="minorHAnsi" w:hAnsiTheme="minorHAnsi" w:cstheme="minorHAnsi"/>
        </w:rPr>
        <w:t>universel</w:t>
      </w:r>
      <w:proofErr w:type="spellEnd"/>
      <w:r w:rsidRPr="003C12D8">
        <w:rPr>
          <w:rFonts w:asciiTheme="minorHAnsi" w:hAnsiTheme="minorHAnsi" w:cstheme="minorHAnsi"/>
        </w:rPr>
        <w:t xml:space="preserve"> (Annual Report) filed with the AMF (French Financial Mark</w:t>
      </w:r>
      <w:r w:rsidR="00616418">
        <w:rPr>
          <w:rFonts w:asciiTheme="minorHAnsi" w:hAnsiTheme="minorHAnsi" w:cstheme="minorHAnsi"/>
        </w:rPr>
        <w:t>ets Authority) on March 19, 2020</w:t>
      </w:r>
      <w:r w:rsidR="0088759E" w:rsidRPr="003C12D8">
        <w:rPr>
          <w:rFonts w:asciiTheme="minorHAnsi" w:hAnsiTheme="minorHAnsi" w:cstheme="minorHAnsi"/>
        </w:rPr>
        <w:t xml:space="preserve">, </w:t>
      </w:r>
      <w:r w:rsidRPr="003C12D8">
        <w:rPr>
          <w:rFonts w:asciiTheme="minorHAnsi" w:hAnsiTheme="minorHAnsi" w:cstheme="minorHAnsi"/>
        </w:rPr>
        <w:t xml:space="preserve">available on the </w:t>
      </w:r>
      <w:r w:rsidR="00A36854" w:rsidRPr="003C12D8">
        <w:rPr>
          <w:rFonts w:asciiTheme="minorHAnsi" w:hAnsiTheme="minorHAnsi" w:cstheme="minorHAnsi"/>
        </w:rPr>
        <w:t>Group</w:t>
      </w:r>
      <w:r w:rsidRPr="003C12D8">
        <w:rPr>
          <w:rFonts w:asciiTheme="minorHAnsi" w:hAnsiTheme="minorHAnsi" w:cstheme="minorHAnsi"/>
        </w:rPr>
        <w:t>’s website www.3ds.com.</w:t>
      </w:r>
    </w:p>
    <w:p w14:paraId="3D8AD67F" w14:textId="77777777" w:rsidR="00DF4742" w:rsidRPr="003C12D8" w:rsidRDefault="00DF4742" w:rsidP="00DF4742">
      <w:pPr>
        <w:jc w:val="both"/>
        <w:rPr>
          <w:rFonts w:asciiTheme="minorHAnsi" w:hAnsiTheme="minorHAnsi" w:cstheme="minorHAnsi"/>
        </w:rPr>
      </w:pPr>
    </w:p>
    <w:p w14:paraId="1253A945" w14:textId="089E9FD4" w:rsidR="00DF4742" w:rsidRPr="003C12D8" w:rsidRDefault="00DF4742" w:rsidP="003943DF">
      <w:pPr>
        <w:spacing w:after="240"/>
        <w:jc w:val="both"/>
        <w:rPr>
          <w:rFonts w:asciiTheme="minorHAnsi" w:hAnsiTheme="minorHAnsi" w:cstheme="minorHAnsi"/>
        </w:rPr>
      </w:pPr>
      <w:r w:rsidRPr="0044035E">
        <w:rPr>
          <w:rFonts w:asciiTheme="minorHAnsi" w:hAnsiTheme="minorHAnsi" w:cstheme="minorHAnsi"/>
        </w:rPr>
        <w:t xml:space="preserve">In preparing such forward-looking statements, the </w:t>
      </w:r>
      <w:r w:rsidR="008C3BA0" w:rsidRPr="0044035E">
        <w:rPr>
          <w:rFonts w:asciiTheme="minorHAnsi" w:hAnsiTheme="minorHAnsi" w:cstheme="minorHAnsi"/>
        </w:rPr>
        <w:t xml:space="preserve">Group </w:t>
      </w:r>
      <w:r w:rsidRPr="0044035E">
        <w:rPr>
          <w:rFonts w:asciiTheme="minorHAnsi" w:hAnsiTheme="minorHAnsi" w:cstheme="minorHAnsi"/>
        </w:rPr>
        <w:t xml:space="preserve">has in particular assumed an average US dollar </w:t>
      </w:r>
      <w:r w:rsidR="00102D0D" w:rsidRPr="0044035E">
        <w:rPr>
          <w:rFonts w:asciiTheme="minorHAnsi" w:hAnsiTheme="minorHAnsi" w:cstheme="minorHAnsi"/>
        </w:rPr>
        <w:t xml:space="preserve">to euro exchange rate of </w:t>
      </w:r>
      <w:r w:rsidR="00102D0D" w:rsidRPr="00B019D2">
        <w:rPr>
          <w:rFonts w:asciiTheme="minorHAnsi" w:hAnsiTheme="minorHAnsi" w:cstheme="minorHAnsi"/>
        </w:rPr>
        <w:t>US$1.</w:t>
      </w:r>
      <w:r w:rsidR="00B8559B" w:rsidRPr="00B019D2">
        <w:rPr>
          <w:rFonts w:asciiTheme="minorHAnsi" w:hAnsiTheme="minorHAnsi" w:cstheme="minorHAnsi"/>
        </w:rPr>
        <w:t>1</w:t>
      </w:r>
      <w:r w:rsidR="0044035E" w:rsidRPr="00B019D2">
        <w:rPr>
          <w:rFonts w:asciiTheme="minorHAnsi" w:hAnsiTheme="minorHAnsi" w:cstheme="minorHAnsi"/>
        </w:rPr>
        <w:t>3</w:t>
      </w:r>
      <w:r w:rsidR="002F0F9B" w:rsidRPr="0044035E">
        <w:rPr>
          <w:rFonts w:asciiTheme="minorHAnsi" w:hAnsiTheme="minorHAnsi" w:cstheme="minorHAnsi"/>
        </w:rPr>
        <w:t xml:space="preserve"> </w:t>
      </w:r>
      <w:r w:rsidRPr="0044035E">
        <w:rPr>
          <w:rFonts w:asciiTheme="minorHAnsi" w:hAnsiTheme="minorHAnsi" w:cstheme="minorHAnsi"/>
        </w:rPr>
        <w:t xml:space="preserve">per €1.00 as well as an average Japanese yen to euro exchange rate of </w:t>
      </w:r>
      <w:r w:rsidR="005B1444" w:rsidRPr="00B019D2">
        <w:rPr>
          <w:rFonts w:asciiTheme="minorHAnsi" w:hAnsiTheme="minorHAnsi" w:cstheme="minorHAnsi"/>
        </w:rPr>
        <w:t>JPY1</w:t>
      </w:r>
      <w:r w:rsidR="0044035E" w:rsidRPr="0044035E">
        <w:rPr>
          <w:rFonts w:asciiTheme="minorHAnsi" w:hAnsiTheme="minorHAnsi" w:cstheme="minorHAnsi"/>
        </w:rPr>
        <w:t>22.3</w:t>
      </w:r>
      <w:r w:rsidR="00090EF9" w:rsidRPr="0044035E">
        <w:rPr>
          <w:rFonts w:asciiTheme="minorHAnsi" w:hAnsiTheme="minorHAnsi" w:cstheme="minorHAnsi"/>
        </w:rPr>
        <w:t xml:space="preserve"> </w:t>
      </w:r>
      <w:r w:rsidR="00904BBB" w:rsidRPr="0044035E">
        <w:rPr>
          <w:rFonts w:asciiTheme="minorHAnsi" w:hAnsiTheme="minorHAnsi" w:cstheme="minorHAnsi"/>
        </w:rPr>
        <w:t xml:space="preserve">to €1.00 </w:t>
      </w:r>
      <w:r w:rsidRPr="0044035E">
        <w:rPr>
          <w:rFonts w:asciiTheme="minorHAnsi" w:hAnsiTheme="minorHAnsi" w:cstheme="minorHAnsi"/>
        </w:rPr>
        <w:t>before hedging</w:t>
      </w:r>
      <w:r w:rsidR="00E87C73" w:rsidRPr="0044035E">
        <w:rPr>
          <w:rFonts w:asciiTheme="minorHAnsi" w:hAnsiTheme="minorHAnsi" w:cstheme="minorHAnsi"/>
        </w:rPr>
        <w:t xml:space="preserve"> for the </w:t>
      </w:r>
      <w:r w:rsidR="00904BBB" w:rsidRPr="0044035E">
        <w:rPr>
          <w:rFonts w:asciiTheme="minorHAnsi" w:hAnsiTheme="minorHAnsi" w:cstheme="minorHAnsi"/>
        </w:rPr>
        <w:t>full year 2020</w:t>
      </w:r>
      <w:r w:rsidR="005B1444" w:rsidRPr="0044035E">
        <w:rPr>
          <w:rFonts w:asciiTheme="minorHAnsi" w:hAnsiTheme="minorHAnsi" w:cstheme="minorHAnsi"/>
        </w:rPr>
        <w:t>. H</w:t>
      </w:r>
      <w:r w:rsidRPr="0044035E">
        <w:rPr>
          <w:rFonts w:asciiTheme="minorHAnsi" w:hAnsiTheme="minorHAnsi" w:cstheme="minorHAnsi"/>
        </w:rPr>
        <w:t xml:space="preserve">owever, currency values fluctuate, and the </w:t>
      </w:r>
      <w:r w:rsidR="00A36854" w:rsidRPr="0044035E">
        <w:rPr>
          <w:rFonts w:asciiTheme="minorHAnsi" w:hAnsiTheme="minorHAnsi" w:cstheme="minorHAnsi"/>
        </w:rPr>
        <w:t xml:space="preserve">Group’s </w:t>
      </w:r>
      <w:r w:rsidRPr="0044035E">
        <w:rPr>
          <w:rFonts w:asciiTheme="minorHAnsi" w:hAnsiTheme="minorHAnsi" w:cstheme="minorHAnsi"/>
        </w:rPr>
        <w:t xml:space="preserve">results of </w:t>
      </w:r>
      <w:r w:rsidR="005B1444" w:rsidRPr="0044035E">
        <w:rPr>
          <w:rFonts w:asciiTheme="minorHAnsi" w:hAnsiTheme="minorHAnsi" w:cstheme="minorHAnsi"/>
        </w:rPr>
        <w:t xml:space="preserve">operations </w:t>
      </w:r>
      <w:proofErr w:type="gramStart"/>
      <w:r w:rsidR="005B1444" w:rsidRPr="0044035E">
        <w:rPr>
          <w:rFonts w:asciiTheme="minorHAnsi" w:hAnsiTheme="minorHAnsi" w:cstheme="minorHAnsi"/>
        </w:rPr>
        <w:t>may be significantly</w:t>
      </w:r>
      <w:r w:rsidR="005B1444">
        <w:rPr>
          <w:rFonts w:asciiTheme="minorHAnsi" w:hAnsiTheme="minorHAnsi" w:cstheme="minorHAnsi"/>
        </w:rPr>
        <w:t xml:space="preserve"> </w:t>
      </w:r>
      <w:r w:rsidRPr="00944B2B">
        <w:rPr>
          <w:rFonts w:asciiTheme="minorHAnsi" w:hAnsiTheme="minorHAnsi" w:cstheme="minorHAnsi"/>
        </w:rPr>
        <w:t>affected</w:t>
      </w:r>
      <w:proofErr w:type="gramEnd"/>
      <w:r w:rsidRPr="00944B2B">
        <w:rPr>
          <w:rFonts w:asciiTheme="minorHAnsi" w:hAnsiTheme="minorHAnsi" w:cstheme="minorHAnsi"/>
        </w:rPr>
        <w:t xml:space="preserve"> by changes in exchange rates.</w:t>
      </w:r>
      <w:r w:rsidRPr="003C12D8">
        <w:rPr>
          <w:rFonts w:asciiTheme="minorHAnsi" w:hAnsiTheme="minorHAnsi" w:cstheme="minorHAnsi"/>
        </w:rPr>
        <w:t xml:space="preserve"> </w:t>
      </w:r>
    </w:p>
    <w:p w14:paraId="2E917B75" w14:textId="77777777" w:rsidR="00DF4742" w:rsidRPr="003C12D8" w:rsidRDefault="00DF4742" w:rsidP="00DF4742">
      <w:pPr>
        <w:jc w:val="both"/>
        <w:rPr>
          <w:rFonts w:asciiTheme="minorHAnsi" w:hAnsiTheme="minorHAnsi" w:cstheme="minorHAnsi"/>
        </w:rPr>
      </w:pPr>
    </w:p>
    <w:p w14:paraId="1E3A049C" w14:textId="77777777" w:rsidR="00DF4742" w:rsidRPr="003C12D8" w:rsidRDefault="00DF4742" w:rsidP="00DF4742">
      <w:pPr>
        <w:jc w:val="both"/>
        <w:rPr>
          <w:rFonts w:asciiTheme="minorHAnsi" w:hAnsiTheme="minorHAnsi" w:cstheme="minorHAnsi"/>
          <w:b/>
        </w:rPr>
      </w:pPr>
      <w:r w:rsidRPr="003C12D8">
        <w:rPr>
          <w:rFonts w:asciiTheme="minorHAnsi" w:hAnsiTheme="minorHAnsi" w:cstheme="minorHAnsi"/>
          <w:b/>
        </w:rPr>
        <w:t>Non-IFRS Financial Information</w:t>
      </w:r>
    </w:p>
    <w:p w14:paraId="32CF84A1" w14:textId="77777777" w:rsidR="00127200" w:rsidRPr="003C12D8" w:rsidRDefault="00127200" w:rsidP="00DF4742">
      <w:pPr>
        <w:jc w:val="both"/>
        <w:rPr>
          <w:rFonts w:asciiTheme="minorHAnsi" w:hAnsiTheme="minorHAnsi" w:cstheme="minorHAnsi"/>
          <w:b/>
        </w:rPr>
      </w:pPr>
    </w:p>
    <w:p w14:paraId="5E1FD18E" w14:textId="5B110ABE" w:rsidR="00DF4742" w:rsidRPr="003C12D8" w:rsidRDefault="005B1444" w:rsidP="00E87C73">
      <w:pPr>
        <w:jc w:val="both"/>
        <w:rPr>
          <w:rFonts w:asciiTheme="minorHAnsi" w:hAnsiTheme="minorHAnsi" w:cstheme="minorHAnsi"/>
        </w:rPr>
      </w:pPr>
      <w:r>
        <w:rPr>
          <w:rFonts w:asciiTheme="minorHAnsi" w:hAnsiTheme="minorHAnsi" w:cstheme="minorHAnsi"/>
        </w:rPr>
        <w:t xml:space="preserve">Readers </w:t>
      </w:r>
      <w:proofErr w:type="gramStart"/>
      <w:r>
        <w:rPr>
          <w:rFonts w:asciiTheme="minorHAnsi" w:hAnsiTheme="minorHAnsi" w:cstheme="minorHAnsi"/>
        </w:rPr>
        <w:t xml:space="preserve">are </w:t>
      </w:r>
      <w:r w:rsidR="00DF4742" w:rsidRPr="003C12D8">
        <w:rPr>
          <w:rFonts w:asciiTheme="minorHAnsi" w:hAnsiTheme="minorHAnsi" w:cstheme="minorHAnsi"/>
        </w:rPr>
        <w:t>cautioned</w:t>
      </w:r>
      <w:proofErr w:type="gramEnd"/>
      <w:r w:rsidR="00DF4742" w:rsidRPr="003C12D8">
        <w:rPr>
          <w:rFonts w:asciiTheme="minorHAnsi" w:hAnsiTheme="minorHAnsi" w:cstheme="minorHAnsi"/>
        </w:rPr>
        <w:t xml:space="preserve"> that the supplemental non-IFRS information presented in this press release is sub</w:t>
      </w:r>
      <w:r>
        <w:rPr>
          <w:rFonts w:asciiTheme="minorHAnsi" w:hAnsiTheme="minorHAnsi" w:cstheme="minorHAnsi"/>
        </w:rPr>
        <w:t>ject to inherent limitations. This information</w:t>
      </w:r>
      <w:r w:rsidR="00DF4742" w:rsidRPr="003C12D8">
        <w:rPr>
          <w:rFonts w:asciiTheme="minorHAnsi" w:hAnsiTheme="minorHAnsi" w:cstheme="minorHAnsi"/>
        </w:rPr>
        <w:t xml:space="preserve"> </w:t>
      </w:r>
      <w:proofErr w:type="gramStart"/>
      <w:r w:rsidR="00DF4742" w:rsidRPr="003C12D8">
        <w:rPr>
          <w:rFonts w:asciiTheme="minorHAnsi" w:hAnsiTheme="minorHAnsi" w:cstheme="minorHAnsi"/>
        </w:rPr>
        <w:t>is not based</w:t>
      </w:r>
      <w:proofErr w:type="gramEnd"/>
      <w:r w:rsidR="00DF4742" w:rsidRPr="003C12D8">
        <w:rPr>
          <w:rFonts w:asciiTheme="minorHAnsi" w:hAnsiTheme="minorHAnsi" w:cstheme="minorHAnsi"/>
        </w:rPr>
        <w:t xml:space="preserve"> on any comprehensive set of accounting rules or principles and should not be considered as a substit</w:t>
      </w:r>
      <w:r>
        <w:rPr>
          <w:rFonts w:asciiTheme="minorHAnsi" w:hAnsiTheme="minorHAnsi" w:cstheme="minorHAnsi"/>
        </w:rPr>
        <w:t>ute for IFRS measurements. In addition,</w:t>
      </w:r>
      <w:r w:rsidR="00DF4742" w:rsidRPr="003C12D8">
        <w:rPr>
          <w:rFonts w:asciiTheme="minorHAnsi" w:hAnsiTheme="minorHAnsi" w:cstheme="minorHAnsi"/>
        </w:rPr>
        <w:t xml:space="preserve"> the </w:t>
      </w:r>
      <w:r w:rsidR="00A36854" w:rsidRPr="003C12D8">
        <w:rPr>
          <w:rFonts w:asciiTheme="minorHAnsi" w:hAnsiTheme="minorHAnsi" w:cstheme="minorHAnsi"/>
        </w:rPr>
        <w:t xml:space="preserve">Group’s </w:t>
      </w:r>
      <w:r w:rsidR="00DF4742" w:rsidRPr="003C12D8">
        <w:rPr>
          <w:rFonts w:asciiTheme="minorHAnsi" w:hAnsiTheme="minorHAnsi" w:cstheme="minorHAnsi"/>
        </w:rPr>
        <w:t xml:space="preserve">supplemental non-IFRS financial information may not be comparable to similarly titled non-IFRS measures used by other companies. Further specific limitations for individual non-IFRS measures, and the reasons for presenting non-IFRS financial information, are set forth in the </w:t>
      </w:r>
      <w:r w:rsidR="008C3BA0" w:rsidRPr="003C12D8">
        <w:rPr>
          <w:rFonts w:asciiTheme="minorHAnsi" w:hAnsiTheme="minorHAnsi" w:cstheme="minorHAnsi"/>
        </w:rPr>
        <w:t xml:space="preserve">Group’s </w:t>
      </w:r>
      <w:r w:rsidR="00E87C73">
        <w:rPr>
          <w:rFonts w:asciiTheme="minorHAnsi" w:hAnsiTheme="minorHAnsi" w:cstheme="minorHAnsi"/>
        </w:rPr>
        <w:t xml:space="preserve">2019 </w:t>
      </w:r>
      <w:r w:rsidR="00E87C73" w:rsidRPr="00E87C73">
        <w:rPr>
          <w:rFonts w:asciiTheme="minorHAnsi" w:hAnsiTheme="minorHAnsi" w:cstheme="minorHAnsi"/>
        </w:rPr>
        <w:t>Document</w:t>
      </w:r>
      <w:r w:rsidR="00E87C73">
        <w:rPr>
          <w:rFonts w:asciiTheme="minorHAnsi" w:hAnsiTheme="minorHAnsi" w:cstheme="minorHAnsi"/>
        </w:rPr>
        <w:t xml:space="preserve"> </w:t>
      </w:r>
      <w:proofErr w:type="spellStart"/>
      <w:r w:rsidR="00E87C73" w:rsidRPr="00E87C73">
        <w:rPr>
          <w:rFonts w:asciiTheme="minorHAnsi" w:hAnsiTheme="minorHAnsi" w:cstheme="minorHAnsi"/>
        </w:rPr>
        <w:t>d'enregistrement</w:t>
      </w:r>
      <w:proofErr w:type="spellEnd"/>
      <w:r w:rsidR="00E87C73">
        <w:rPr>
          <w:rFonts w:asciiTheme="minorHAnsi" w:hAnsiTheme="minorHAnsi" w:cstheme="minorHAnsi"/>
        </w:rPr>
        <w:t xml:space="preserve"> </w:t>
      </w:r>
      <w:proofErr w:type="spellStart"/>
      <w:r w:rsidR="00E87C73" w:rsidRPr="00E87C73">
        <w:rPr>
          <w:rFonts w:asciiTheme="minorHAnsi" w:hAnsiTheme="minorHAnsi" w:cstheme="minorHAnsi"/>
        </w:rPr>
        <w:t>universel</w:t>
      </w:r>
      <w:proofErr w:type="spellEnd"/>
      <w:r w:rsidR="00DF4742" w:rsidRPr="003C12D8">
        <w:rPr>
          <w:rFonts w:asciiTheme="minorHAnsi" w:hAnsiTheme="minorHAnsi" w:cstheme="minorHAnsi"/>
        </w:rPr>
        <w:t xml:space="preserve"> </w:t>
      </w:r>
      <w:r w:rsidR="00E87C73">
        <w:rPr>
          <w:rFonts w:asciiTheme="minorHAnsi" w:hAnsiTheme="minorHAnsi" w:cstheme="minorHAnsi"/>
        </w:rPr>
        <w:t>(</w:t>
      </w:r>
      <w:r w:rsidR="00BE64EE">
        <w:rPr>
          <w:rFonts w:asciiTheme="minorHAnsi" w:hAnsiTheme="minorHAnsi" w:cstheme="minorHAnsi"/>
        </w:rPr>
        <w:t>A</w:t>
      </w:r>
      <w:r w:rsidR="00E87C73">
        <w:rPr>
          <w:rFonts w:asciiTheme="minorHAnsi" w:hAnsiTheme="minorHAnsi" w:cstheme="minorHAnsi"/>
        </w:rPr>
        <w:t xml:space="preserve">nnual </w:t>
      </w:r>
      <w:r w:rsidR="00BE64EE">
        <w:rPr>
          <w:rFonts w:asciiTheme="minorHAnsi" w:hAnsiTheme="minorHAnsi" w:cstheme="minorHAnsi"/>
        </w:rPr>
        <w:t>R</w:t>
      </w:r>
      <w:r w:rsidR="00E87C73">
        <w:rPr>
          <w:rFonts w:asciiTheme="minorHAnsi" w:hAnsiTheme="minorHAnsi" w:cstheme="minorHAnsi"/>
        </w:rPr>
        <w:t xml:space="preserve">eport) </w:t>
      </w:r>
      <w:r w:rsidR="00DF4742" w:rsidRPr="003C12D8">
        <w:rPr>
          <w:rFonts w:asciiTheme="minorHAnsi" w:hAnsiTheme="minorHAnsi" w:cstheme="minorHAnsi"/>
        </w:rPr>
        <w:t>file</w:t>
      </w:r>
      <w:r w:rsidR="00E87C73">
        <w:rPr>
          <w:rFonts w:asciiTheme="minorHAnsi" w:hAnsiTheme="minorHAnsi" w:cstheme="minorHAnsi"/>
        </w:rPr>
        <w:t>d with the AMF on March 19, 2020</w:t>
      </w:r>
      <w:r w:rsidR="00DF4742" w:rsidRPr="003C12D8">
        <w:rPr>
          <w:rFonts w:asciiTheme="minorHAnsi" w:hAnsiTheme="minorHAnsi" w:cstheme="minorHAnsi"/>
        </w:rPr>
        <w:t xml:space="preserve">.  </w:t>
      </w:r>
    </w:p>
    <w:p w14:paraId="05B70FDA" w14:textId="77777777" w:rsidR="00DF4742" w:rsidRPr="003C12D8" w:rsidRDefault="00DF4742" w:rsidP="00DF4742">
      <w:pPr>
        <w:jc w:val="both"/>
        <w:rPr>
          <w:rFonts w:asciiTheme="minorHAnsi" w:hAnsiTheme="minorHAnsi" w:cstheme="minorHAnsi"/>
        </w:rPr>
      </w:pPr>
    </w:p>
    <w:p w14:paraId="34869F95" w14:textId="2E0A6300" w:rsidR="00C53E4F" w:rsidRPr="003943DF" w:rsidRDefault="00DF4742" w:rsidP="003943DF">
      <w:pPr>
        <w:spacing w:after="240"/>
        <w:jc w:val="both"/>
        <w:rPr>
          <w:rFonts w:asciiTheme="minorHAnsi" w:hAnsiTheme="minorHAnsi" w:cstheme="minorHAnsi"/>
        </w:rPr>
      </w:pPr>
      <w:proofErr w:type="gramStart"/>
      <w:r w:rsidRPr="003C12D8">
        <w:rPr>
          <w:rFonts w:asciiTheme="minorHAnsi" w:hAnsiTheme="minorHAnsi" w:cstheme="minorHAnsi"/>
        </w:rPr>
        <w:t xml:space="preserve">In the tables accompanying this press release the </w:t>
      </w:r>
      <w:r w:rsidR="00A36854" w:rsidRPr="003C12D8">
        <w:rPr>
          <w:rFonts w:asciiTheme="minorHAnsi" w:hAnsiTheme="minorHAnsi" w:cstheme="minorHAnsi"/>
        </w:rPr>
        <w:t>Group</w:t>
      </w:r>
      <w:r w:rsidRPr="003C12D8">
        <w:rPr>
          <w:rFonts w:asciiTheme="minorHAnsi" w:hAnsiTheme="minorHAnsi" w:cstheme="minorHAnsi"/>
        </w:rPr>
        <w:t xml:space="preserve"> sets forth its supplemental non-IFRS figures for revenue, operating income, operating margin, net income and diluted earnings per share, which exclude the effect of adjusting the carrying value of acquired companies’ deferred revenue, share-based compensation expense and related social charges, the amortization of acquired intangible assets</w:t>
      </w:r>
      <w:r w:rsidR="009E31E9">
        <w:rPr>
          <w:rFonts w:asciiTheme="minorHAnsi" w:hAnsiTheme="minorHAnsi" w:cstheme="minorHAnsi"/>
        </w:rPr>
        <w:t xml:space="preserve"> and of tangibles reevaluation</w:t>
      </w:r>
      <w:r w:rsidRPr="003C12D8">
        <w:rPr>
          <w:rFonts w:asciiTheme="minorHAnsi" w:hAnsiTheme="minorHAnsi" w:cstheme="minorHAnsi"/>
        </w:rPr>
        <w:t xml:space="preserve">, </w:t>
      </w:r>
      <w:r w:rsidR="00CE3127">
        <w:rPr>
          <w:rFonts w:asciiTheme="minorHAnsi" w:hAnsiTheme="minorHAnsi" w:cstheme="minorHAnsi"/>
        </w:rPr>
        <w:t xml:space="preserve">certain </w:t>
      </w:r>
      <w:r w:rsidRPr="003C12D8">
        <w:rPr>
          <w:rFonts w:asciiTheme="minorHAnsi" w:hAnsiTheme="minorHAnsi" w:cstheme="minorHAnsi"/>
        </w:rPr>
        <w:t xml:space="preserve">other operating income and expense, net, including impairment of goodwill and acquired intangibles, </w:t>
      </w:r>
      <w:r w:rsidR="00CE3127">
        <w:rPr>
          <w:rFonts w:asciiTheme="minorHAnsi" w:hAnsiTheme="minorHAnsi" w:cstheme="minorHAnsi"/>
        </w:rPr>
        <w:t xml:space="preserve">the effect of adjusting </w:t>
      </w:r>
      <w:r w:rsidR="009E31E9">
        <w:rPr>
          <w:rFonts w:asciiTheme="minorHAnsi" w:hAnsiTheme="minorHAnsi" w:cstheme="minorHAnsi"/>
        </w:rPr>
        <w:t xml:space="preserve">lease incentives of acquired companies, </w:t>
      </w:r>
      <w:r w:rsidRPr="003C12D8">
        <w:rPr>
          <w:rFonts w:asciiTheme="minorHAnsi" w:hAnsiTheme="minorHAnsi" w:cstheme="minorHAnsi"/>
        </w:rPr>
        <w:t>certain one-time items included in financial revenue and other, net, and the income tax effect of the non-IFRS adjustments and certain one-time tax effects.</w:t>
      </w:r>
      <w:proofErr w:type="gramEnd"/>
      <w:r w:rsidRPr="003C12D8">
        <w:rPr>
          <w:rFonts w:asciiTheme="minorHAnsi" w:hAnsiTheme="minorHAnsi" w:cstheme="minorHAnsi"/>
        </w:rPr>
        <w:t xml:space="preserve"> The tables also set forth the most comparable IFRS financial measure and reconciliations of this information with non-IFRS information.</w:t>
      </w:r>
    </w:p>
    <w:p w14:paraId="6F63ACB4" w14:textId="77777777" w:rsidR="00C53E4F" w:rsidRDefault="00C53E4F" w:rsidP="00A93B57">
      <w:pPr>
        <w:jc w:val="both"/>
        <w:rPr>
          <w:rFonts w:asciiTheme="minorHAnsi" w:hAnsiTheme="minorHAnsi" w:cstheme="minorHAnsi"/>
          <w:b/>
        </w:rPr>
      </w:pPr>
    </w:p>
    <w:p w14:paraId="5DE56EA0" w14:textId="77777777" w:rsidR="00A93B57" w:rsidRPr="003C12D8" w:rsidRDefault="00345D44" w:rsidP="00A93B57">
      <w:pPr>
        <w:jc w:val="both"/>
        <w:rPr>
          <w:rFonts w:asciiTheme="minorHAnsi" w:hAnsiTheme="minorHAnsi" w:cstheme="minorHAnsi"/>
          <w:b/>
        </w:rPr>
      </w:pPr>
      <w:r w:rsidRPr="003C12D8">
        <w:rPr>
          <w:rFonts w:asciiTheme="minorHAnsi" w:hAnsiTheme="minorHAnsi" w:cstheme="minorHAnsi"/>
          <w:b/>
        </w:rPr>
        <w:t>Social media:</w:t>
      </w:r>
    </w:p>
    <w:p w14:paraId="45D1C611" w14:textId="77777777" w:rsidR="00A93B57" w:rsidRPr="003C12D8" w:rsidRDefault="00A93B57" w:rsidP="00A93B57">
      <w:pPr>
        <w:jc w:val="both"/>
        <w:rPr>
          <w:rFonts w:asciiTheme="minorHAnsi" w:hAnsiTheme="minorHAnsi" w:cstheme="minorHAnsi"/>
        </w:rPr>
      </w:pPr>
    </w:p>
    <w:p w14:paraId="7823DAE1" w14:textId="77777777" w:rsidR="00345D44" w:rsidRPr="003C12D8" w:rsidRDefault="00345D44" w:rsidP="00345D44">
      <w:pPr>
        <w:jc w:val="both"/>
        <w:rPr>
          <w:rFonts w:asciiTheme="minorHAnsi" w:hAnsiTheme="minorHAnsi" w:cstheme="minorHAnsi"/>
        </w:rPr>
      </w:pPr>
      <w:r w:rsidRPr="003C12D8">
        <w:rPr>
          <w:rFonts w:asciiTheme="minorHAnsi" w:hAnsiTheme="minorHAnsi" w:cstheme="minorHAnsi"/>
        </w:rPr>
        <w:t xml:space="preserve">Connect with Dassault Systèmes on </w:t>
      </w:r>
      <w:hyperlink r:id="rId10" w:history="1">
        <w:r w:rsidRPr="003C12D8">
          <w:rPr>
            <w:rStyle w:val="Hyperlink"/>
            <w:rFonts w:asciiTheme="minorHAnsi" w:hAnsiTheme="minorHAnsi" w:cstheme="minorHAnsi"/>
          </w:rPr>
          <w:t>Twitter</w:t>
        </w:r>
      </w:hyperlink>
      <w:r w:rsidRPr="003C12D8">
        <w:rPr>
          <w:rFonts w:asciiTheme="minorHAnsi" w:hAnsiTheme="minorHAnsi" w:cstheme="minorHAnsi"/>
        </w:rPr>
        <w:t xml:space="preserve"> </w:t>
      </w:r>
      <w:hyperlink r:id="rId11" w:history="1">
        <w:r w:rsidRPr="003C12D8">
          <w:rPr>
            <w:rStyle w:val="Hyperlink"/>
            <w:rFonts w:asciiTheme="minorHAnsi" w:hAnsiTheme="minorHAnsi" w:cstheme="minorHAnsi"/>
          </w:rPr>
          <w:t>Facebook</w:t>
        </w:r>
      </w:hyperlink>
      <w:r w:rsidRPr="003C12D8">
        <w:rPr>
          <w:rFonts w:asciiTheme="minorHAnsi" w:hAnsiTheme="minorHAnsi" w:cstheme="minorHAnsi"/>
        </w:rPr>
        <w:t xml:space="preserve"> </w:t>
      </w:r>
      <w:hyperlink r:id="rId12" w:history="1">
        <w:r w:rsidRPr="003C12D8">
          <w:rPr>
            <w:rStyle w:val="Hyperlink"/>
            <w:rFonts w:asciiTheme="minorHAnsi" w:hAnsiTheme="minorHAnsi" w:cstheme="minorHAnsi"/>
          </w:rPr>
          <w:t>LinkedIn</w:t>
        </w:r>
      </w:hyperlink>
      <w:r w:rsidRPr="003C12D8">
        <w:rPr>
          <w:rFonts w:asciiTheme="minorHAnsi" w:hAnsiTheme="minorHAnsi" w:cstheme="minorHAnsi"/>
        </w:rPr>
        <w:t xml:space="preserve"> </w:t>
      </w:r>
      <w:hyperlink r:id="rId13" w:history="1">
        <w:r w:rsidRPr="003C12D8">
          <w:rPr>
            <w:rStyle w:val="Hyperlink"/>
            <w:rFonts w:asciiTheme="minorHAnsi" w:hAnsiTheme="minorHAnsi" w:cstheme="minorHAnsi"/>
          </w:rPr>
          <w:t>YouTube</w:t>
        </w:r>
      </w:hyperlink>
      <w:r w:rsidRPr="003C12D8">
        <w:rPr>
          <w:rFonts w:asciiTheme="minorHAnsi" w:hAnsiTheme="minorHAnsi" w:cstheme="minorHAnsi"/>
        </w:rPr>
        <w:t xml:space="preserve"> </w:t>
      </w:r>
    </w:p>
    <w:p w14:paraId="5901BB9D" w14:textId="77777777" w:rsidR="003E24BF" w:rsidRPr="003C12D8" w:rsidRDefault="003E24BF" w:rsidP="00345D44">
      <w:pPr>
        <w:widowControl w:val="0"/>
        <w:jc w:val="both"/>
        <w:rPr>
          <w:rFonts w:asciiTheme="minorHAnsi" w:hAnsiTheme="minorHAnsi" w:cstheme="minorHAnsi"/>
        </w:rPr>
      </w:pPr>
    </w:p>
    <w:p w14:paraId="32874935" w14:textId="77777777" w:rsidR="00A93B57" w:rsidRPr="003C12D8" w:rsidRDefault="00345D44" w:rsidP="00345D44">
      <w:pPr>
        <w:jc w:val="center"/>
        <w:rPr>
          <w:rFonts w:asciiTheme="minorHAnsi" w:hAnsiTheme="minorHAnsi" w:cstheme="minorHAnsi"/>
        </w:rPr>
      </w:pPr>
      <w:r w:rsidRPr="003C12D8">
        <w:rPr>
          <w:rFonts w:asciiTheme="minorHAnsi" w:hAnsiTheme="minorHAnsi" w:cstheme="minorHAnsi"/>
        </w:rPr>
        <w:t>###</w:t>
      </w:r>
    </w:p>
    <w:p w14:paraId="0B10418F" w14:textId="77777777" w:rsidR="00A93B57" w:rsidRPr="003C12D8" w:rsidRDefault="00A93B57" w:rsidP="00A93B57">
      <w:pPr>
        <w:jc w:val="both"/>
        <w:rPr>
          <w:rFonts w:asciiTheme="minorHAnsi" w:hAnsiTheme="minorHAnsi" w:cstheme="minorHAnsi"/>
        </w:rPr>
      </w:pPr>
    </w:p>
    <w:p w14:paraId="09AFD37C" w14:textId="5A348B48" w:rsidR="00A96FC3" w:rsidRDefault="00A96FC3" w:rsidP="00A96FC3">
      <w:pPr>
        <w:spacing w:after="120"/>
        <w:rPr>
          <w:b/>
          <w:bCs/>
          <w:color w:val="000000"/>
        </w:rPr>
      </w:pPr>
      <w:bookmarkStart w:id="0" w:name="OLE_LINK2"/>
      <w:bookmarkStart w:id="1" w:name="OLE_LINK1"/>
      <w:r w:rsidRPr="000A5651">
        <w:rPr>
          <w:b/>
          <w:bCs/>
          <w:color w:val="000000"/>
        </w:rPr>
        <w:t>About Dassault Systèmes</w:t>
      </w:r>
    </w:p>
    <w:p w14:paraId="2CD030DC" w14:textId="649C9148" w:rsidR="00982172" w:rsidRPr="008D54AC" w:rsidRDefault="00356B2D" w:rsidP="00A96FC3">
      <w:pPr>
        <w:spacing w:after="120"/>
        <w:rPr>
          <w:color w:val="000000"/>
        </w:rPr>
      </w:pPr>
      <w:r>
        <w:rPr>
          <w:color w:val="000000"/>
        </w:rPr>
        <w:tab/>
      </w:r>
    </w:p>
    <w:p w14:paraId="061F4B02" w14:textId="77777777" w:rsidR="00E71F79" w:rsidRPr="00E71F79" w:rsidRDefault="00E71F79" w:rsidP="00E71F79">
      <w:pPr>
        <w:jc w:val="both"/>
        <w:rPr>
          <w:color w:val="000000"/>
        </w:rPr>
      </w:pPr>
      <w:r w:rsidRPr="00E71F79">
        <w:rPr>
          <w:color w:val="000000"/>
        </w:rPr>
        <w:t xml:space="preserve">Dassault Systèmes, the </w:t>
      </w:r>
      <w:r w:rsidRPr="00430A20">
        <w:rPr>
          <w:b/>
          <w:color w:val="000000"/>
        </w:rPr>
        <w:t>3D</w:t>
      </w:r>
      <w:r w:rsidRPr="00E71F79">
        <w:rPr>
          <w:color w:val="000000"/>
        </w:rPr>
        <w:t xml:space="preserve">EXPERIENCE Company, is a catalyst for human progress. We provide business and people with collaborative virtual environments to imagine sustainable innovations. By creating ‘virtual experience twins’ of the real world with our </w:t>
      </w:r>
      <w:r w:rsidRPr="00430A20">
        <w:rPr>
          <w:b/>
          <w:color w:val="000000"/>
        </w:rPr>
        <w:t>3D</w:t>
      </w:r>
      <w:r w:rsidRPr="00E71F79">
        <w:rPr>
          <w:color w:val="000000"/>
        </w:rPr>
        <w:t xml:space="preserve">EXPERIENCE platform and applications, our customers push the boundaries of innovation, learning and production. </w:t>
      </w:r>
    </w:p>
    <w:p w14:paraId="245FD2FE" w14:textId="3424847A" w:rsidR="00982172" w:rsidRDefault="00E71F79" w:rsidP="00A96FC3">
      <w:pPr>
        <w:rPr>
          <w:color w:val="000000"/>
        </w:rPr>
      </w:pPr>
      <w:r w:rsidRPr="00E71F79">
        <w:rPr>
          <w:color w:val="000000"/>
        </w:rPr>
        <w:t xml:space="preserve">Dassault Systèmes’ 20,000 employees are bringing value to more than 270,000 customers of all sizes, in all industries, in more than 140 countries. For more information, visit </w:t>
      </w:r>
      <w:hyperlink r:id="rId14" w:history="1">
        <w:r w:rsidR="00982172" w:rsidRPr="002D0198">
          <w:rPr>
            <w:rStyle w:val="Hyperlink"/>
          </w:rPr>
          <w:t>www.3ds.com</w:t>
        </w:r>
      </w:hyperlink>
    </w:p>
    <w:p w14:paraId="7004C4BB" w14:textId="77777777" w:rsidR="00A96FC3" w:rsidRPr="00EB7CFC" w:rsidRDefault="00A96FC3" w:rsidP="00A96FC3"/>
    <w:p w14:paraId="01FC24B6" w14:textId="3986E134" w:rsidR="00A96FC3" w:rsidRPr="000A5651" w:rsidRDefault="00A96FC3" w:rsidP="003943DF">
      <w:pPr>
        <w:spacing w:after="240"/>
        <w:jc w:val="both"/>
        <w:rPr>
          <w:i/>
          <w:color w:val="000000"/>
        </w:rPr>
      </w:pPr>
      <w:r w:rsidRPr="000A5651">
        <w:rPr>
          <w:i/>
          <w:color w:val="000000"/>
        </w:rPr>
        <w:t xml:space="preserve">©2020 Dassault Systèmes. All rights reserved. </w:t>
      </w:r>
      <w:r w:rsidRPr="00430A20">
        <w:rPr>
          <w:b/>
          <w:i/>
          <w:color w:val="000000"/>
        </w:rPr>
        <w:t>3D</w:t>
      </w:r>
      <w:r w:rsidRPr="000A5651">
        <w:rPr>
          <w:i/>
          <w:color w:val="000000"/>
        </w:rPr>
        <w:t>EXPERIENCE, the Compass icon, the 3DS logo, CATIA, BIOVIA, GEOVIA, SOLIDWORKS, 3DVIA, ENOVIA, EXALEAD, NETVIBES, MEDIDATA, CENTRIC PLM, 3DEXCITE, SIMULIA, DELMIA, and IFWE are commercial trademarks or registered trademarks of Dassault Systèmes, a French “</w:t>
      </w:r>
      <w:proofErr w:type="spellStart"/>
      <w:r w:rsidRPr="000A5651">
        <w:rPr>
          <w:i/>
          <w:color w:val="000000"/>
        </w:rPr>
        <w:t>société</w:t>
      </w:r>
      <w:proofErr w:type="spellEnd"/>
      <w:r w:rsidRPr="000A5651">
        <w:rPr>
          <w:i/>
          <w:color w:val="000000"/>
        </w:rPr>
        <w:t xml:space="preserve"> </w:t>
      </w:r>
      <w:proofErr w:type="spellStart"/>
      <w:r w:rsidRPr="000A5651">
        <w:rPr>
          <w:i/>
          <w:color w:val="000000"/>
        </w:rPr>
        <w:t>européenne</w:t>
      </w:r>
      <w:proofErr w:type="spellEnd"/>
      <w:r w:rsidRPr="000A5651">
        <w:rPr>
          <w:i/>
          <w:color w:val="000000"/>
        </w:rPr>
        <w:t xml:space="preserve">” (Versailles Commercial Register # B 322 306 440), or its subsidiaries in the United States and/or other countries. </w:t>
      </w:r>
      <w:proofErr w:type="gramStart"/>
      <w:r w:rsidRPr="000A5651">
        <w:rPr>
          <w:i/>
          <w:color w:val="000000"/>
        </w:rPr>
        <w:t>All other trademarks are o</w:t>
      </w:r>
      <w:r w:rsidR="005B1444">
        <w:rPr>
          <w:i/>
          <w:color w:val="000000"/>
        </w:rPr>
        <w:t>wned by their respective owners</w:t>
      </w:r>
      <w:proofErr w:type="gramEnd"/>
      <w:r w:rsidR="005B1444">
        <w:rPr>
          <w:i/>
          <w:color w:val="000000"/>
        </w:rPr>
        <w:t>.</w:t>
      </w:r>
      <w:r w:rsidRPr="000A5651">
        <w:rPr>
          <w:i/>
          <w:color w:val="000000"/>
        </w:rPr>
        <w:t xml:space="preserve"> Use of any Dassault Systèmes or its subsidiaries trademarks is subject to their express written approval.</w:t>
      </w:r>
    </w:p>
    <w:p w14:paraId="3B639D30" w14:textId="77777777" w:rsidR="00A96FC3" w:rsidRPr="00EB7CFC" w:rsidRDefault="00A96FC3" w:rsidP="00A96FC3">
      <w:pPr>
        <w:autoSpaceDE w:val="0"/>
        <w:autoSpaceDN w:val="0"/>
        <w:jc w:val="both"/>
        <w:rPr>
          <w:rFonts w:asciiTheme="minorHAnsi" w:hAnsiTheme="minorHAnsi" w:cstheme="minorHAnsi"/>
          <w:color w:val="000000"/>
          <w:sz w:val="20"/>
          <w:szCs w:val="20"/>
          <w:highlight w:val="yellow"/>
          <w:lang w:eastAsia="fr-FR"/>
        </w:rPr>
      </w:pPr>
    </w:p>
    <w:p w14:paraId="77920763" w14:textId="77777777" w:rsidR="00A96FC3" w:rsidRPr="003943DF" w:rsidRDefault="00A96FC3" w:rsidP="00A96FC3">
      <w:pPr>
        <w:keepNext/>
        <w:snapToGrid w:val="0"/>
        <w:jc w:val="both"/>
        <w:rPr>
          <w:rFonts w:asciiTheme="minorHAnsi" w:hAnsiTheme="minorHAnsi" w:cstheme="minorHAnsi"/>
          <w:b/>
          <w:bCs/>
        </w:rPr>
      </w:pPr>
      <w:r w:rsidRPr="003943DF">
        <w:rPr>
          <w:rFonts w:asciiTheme="minorHAnsi" w:hAnsiTheme="minorHAnsi" w:cstheme="minorHAnsi"/>
          <w:b/>
          <w:bCs/>
        </w:rPr>
        <w:t>Dassault Systèmes Investor Relations’ Contacts</w:t>
      </w:r>
    </w:p>
    <w:tbl>
      <w:tblPr>
        <w:tblW w:w="0" w:type="auto"/>
        <w:tblLook w:val="04A0" w:firstRow="1" w:lastRow="0" w:firstColumn="1" w:lastColumn="0" w:noHBand="0" w:noVBand="1"/>
      </w:tblPr>
      <w:tblGrid>
        <w:gridCol w:w="2552"/>
        <w:gridCol w:w="2551"/>
        <w:gridCol w:w="2405"/>
        <w:gridCol w:w="1842"/>
      </w:tblGrid>
      <w:tr w:rsidR="00A96FC3" w:rsidRPr="00EB7CFC" w14:paraId="688AB7AC" w14:textId="77777777" w:rsidTr="00682688">
        <w:tc>
          <w:tcPr>
            <w:tcW w:w="2552" w:type="dxa"/>
          </w:tcPr>
          <w:p w14:paraId="38324FB6" w14:textId="77777777" w:rsidR="00A96FC3" w:rsidRPr="00EB7CFC" w:rsidRDefault="00A96FC3" w:rsidP="00682688">
            <w:pPr>
              <w:keepNext/>
              <w:snapToGrid w:val="0"/>
              <w:jc w:val="both"/>
              <w:rPr>
                <w:rFonts w:asciiTheme="minorHAnsi" w:hAnsiTheme="minorHAnsi" w:cstheme="minorHAnsi"/>
                <w:bCs/>
              </w:rPr>
            </w:pPr>
            <w:r w:rsidRPr="00EB7CFC">
              <w:rPr>
                <w:rFonts w:asciiTheme="minorHAnsi" w:hAnsiTheme="minorHAnsi" w:cstheme="minorHAnsi"/>
                <w:bCs/>
              </w:rPr>
              <w:t>Corporate</w:t>
            </w:r>
          </w:p>
        </w:tc>
        <w:tc>
          <w:tcPr>
            <w:tcW w:w="2551" w:type="dxa"/>
          </w:tcPr>
          <w:p w14:paraId="7D28BE93" w14:textId="77777777" w:rsidR="00A96FC3" w:rsidRPr="001E7E98" w:rsidRDefault="00A96FC3" w:rsidP="00682688">
            <w:pPr>
              <w:jc w:val="both"/>
              <w:rPr>
                <w:rFonts w:asciiTheme="minorHAnsi" w:hAnsiTheme="minorHAnsi" w:cstheme="minorHAnsi"/>
                <w:lang w:val="fr-FR"/>
              </w:rPr>
            </w:pPr>
            <w:r w:rsidRPr="001E7E98">
              <w:rPr>
                <w:rFonts w:asciiTheme="minorHAnsi" w:hAnsiTheme="minorHAnsi" w:cstheme="minorHAnsi"/>
                <w:lang w:val="fr-FR"/>
              </w:rPr>
              <w:t xml:space="preserve">François-José </w:t>
            </w:r>
            <w:proofErr w:type="spellStart"/>
            <w:r w:rsidRPr="001E7E98">
              <w:rPr>
                <w:rFonts w:asciiTheme="minorHAnsi" w:hAnsiTheme="minorHAnsi" w:cstheme="minorHAnsi"/>
                <w:lang w:val="fr-FR"/>
              </w:rPr>
              <w:t>Bordonado</w:t>
            </w:r>
            <w:proofErr w:type="spellEnd"/>
          </w:p>
          <w:p w14:paraId="1F23F5DB" w14:textId="77777777" w:rsidR="00A96FC3" w:rsidRPr="0060782E" w:rsidRDefault="00A96FC3" w:rsidP="00682688">
            <w:pPr>
              <w:jc w:val="both"/>
              <w:rPr>
                <w:rFonts w:asciiTheme="minorHAnsi" w:hAnsiTheme="minorHAnsi" w:cstheme="minorHAnsi"/>
                <w:lang w:val="fr-FR"/>
              </w:rPr>
            </w:pPr>
            <w:r w:rsidRPr="001E7E98">
              <w:rPr>
                <w:rFonts w:asciiTheme="minorHAnsi" w:hAnsiTheme="minorHAnsi" w:cstheme="minorHAnsi"/>
                <w:lang w:val="fr-FR"/>
              </w:rPr>
              <w:t>Béatrix Mart</w:t>
            </w:r>
            <w:r w:rsidRPr="0060782E">
              <w:rPr>
                <w:rFonts w:asciiTheme="minorHAnsi" w:hAnsiTheme="minorHAnsi" w:cstheme="minorHAnsi"/>
                <w:lang w:val="fr-FR"/>
              </w:rPr>
              <w:t>inez</w:t>
            </w:r>
          </w:p>
        </w:tc>
        <w:tc>
          <w:tcPr>
            <w:tcW w:w="2405" w:type="dxa"/>
          </w:tcPr>
          <w:p w14:paraId="419B8E20" w14:textId="77777777" w:rsidR="00A96FC3" w:rsidRPr="00EB7CFC" w:rsidRDefault="00A96FC3" w:rsidP="00682688">
            <w:pPr>
              <w:keepNext/>
              <w:snapToGrid w:val="0"/>
              <w:jc w:val="both"/>
              <w:rPr>
                <w:rFonts w:asciiTheme="minorHAnsi" w:hAnsiTheme="minorHAnsi" w:cstheme="minorHAnsi"/>
                <w:bCs/>
              </w:rPr>
            </w:pPr>
            <w:r w:rsidRPr="00EB7CFC">
              <w:rPr>
                <w:rFonts w:asciiTheme="minorHAnsi" w:hAnsiTheme="minorHAnsi" w:cstheme="minorHAnsi"/>
                <w:bCs/>
              </w:rPr>
              <w:t>investors@3ds.com</w:t>
            </w:r>
          </w:p>
        </w:tc>
        <w:tc>
          <w:tcPr>
            <w:tcW w:w="1842" w:type="dxa"/>
          </w:tcPr>
          <w:p w14:paraId="07A84AFA" w14:textId="77777777" w:rsidR="00A96FC3" w:rsidRPr="00EB7CFC" w:rsidRDefault="00A96FC3" w:rsidP="00682688">
            <w:pPr>
              <w:jc w:val="both"/>
              <w:rPr>
                <w:rFonts w:asciiTheme="minorHAnsi" w:hAnsiTheme="minorHAnsi" w:cstheme="minorHAnsi"/>
              </w:rPr>
            </w:pPr>
            <w:r w:rsidRPr="00EB7CFC">
              <w:rPr>
                <w:rFonts w:asciiTheme="minorHAnsi" w:hAnsiTheme="minorHAnsi" w:cstheme="minorHAnsi"/>
              </w:rPr>
              <w:t>+33.1.61.62.69.24</w:t>
            </w:r>
          </w:p>
          <w:p w14:paraId="5E511B21" w14:textId="77777777" w:rsidR="00A96FC3" w:rsidRPr="00EB7CFC" w:rsidRDefault="00A96FC3" w:rsidP="00682688">
            <w:pPr>
              <w:keepNext/>
              <w:snapToGrid w:val="0"/>
              <w:jc w:val="both"/>
              <w:rPr>
                <w:rFonts w:asciiTheme="minorHAnsi" w:hAnsiTheme="minorHAnsi" w:cstheme="minorHAnsi"/>
                <w:bCs/>
              </w:rPr>
            </w:pPr>
          </w:p>
        </w:tc>
      </w:tr>
      <w:tr w:rsidR="00A96FC3" w:rsidRPr="00EB7CFC" w14:paraId="61439A40" w14:textId="77777777" w:rsidTr="00682688">
        <w:trPr>
          <w:trHeight w:val="163"/>
        </w:trPr>
        <w:tc>
          <w:tcPr>
            <w:tcW w:w="2552" w:type="dxa"/>
          </w:tcPr>
          <w:p w14:paraId="2CB536E6" w14:textId="77777777" w:rsidR="00A96FC3" w:rsidRPr="00EB7CFC" w:rsidRDefault="00A96FC3" w:rsidP="00682688">
            <w:pPr>
              <w:keepNext/>
              <w:snapToGrid w:val="0"/>
              <w:jc w:val="both"/>
              <w:rPr>
                <w:rFonts w:asciiTheme="minorHAnsi" w:hAnsiTheme="minorHAnsi" w:cstheme="minorHAnsi"/>
                <w:bCs/>
                <w:sz w:val="16"/>
                <w:szCs w:val="16"/>
              </w:rPr>
            </w:pPr>
          </w:p>
        </w:tc>
        <w:tc>
          <w:tcPr>
            <w:tcW w:w="2551" w:type="dxa"/>
          </w:tcPr>
          <w:p w14:paraId="3F07E13C" w14:textId="77777777" w:rsidR="00A96FC3" w:rsidRPr="00EB7CFC" w:rsidRDefault="00A96FC3" w:rsidP="00682688">
            <w:pPr>
              <w:jc w:val="both"/>
              <w:rPr>
                <w:rFonts w:asciiTheme="minorHAnsi" w:hAnsiTheme="minorHAnsi" w:cstheme="minorHAnsi"/>
              </w:rPr>
            </w:pPr>
          </w:p>
        </w:tc>
        <w:tc>
          <w:tcPr>
            <w:tcW w:w="2405" w:type="dxa"/>
          </w:tcPr>
          <w:p w14:paraId="2C587FCF" w14:textId="77777777" w:rsidR="00A96FC3" w:rsidRPr="00EB7CFC" w:rsidRDefault="00A96FC3" w:rsidP="00682688">
            <w:pPr>
              <w:keepNext/>
              <w:snapToGrid w:val="0"/>
              <w:jc w:val="both"/>
              <w:rPr>
                <w:rFonts w:asciiTheme="minorHAnsi" w:hAnsiTheme="minorHAnsi" w:cstheme="minorHAnsi"/>
                <w:bCs/>
              </w:rPr>
            </w:pPr>
          </w:p>
        </w:tc>
        <w:tc>
          <w:tcPr>
            <w:tcW w:w="1842" w:type="dxa"/>
          </w:tcPr>
          <w:p w14:paraId="5A2BE6D7" w14:textId="77777777" w:rsidR="00A96FC3" w:rsidRPr="00EB7CFC" w:rsidRDefault="00A96FC3" w:rsidP="00682688">
            <w:pPr>
              <w:jc w:val="both"/>
              <w:rPr>
                <w:rFonts w:asciiTheme="minorHAnsi" w:hAnsiTheme="minorHAnsi" w:cstheme="minorHAnsi"/>
              </w:rPr>
            </w:pPr>
          </w:p>
        </w:tc>
      </w:tr>
      <w:tr w:rsidR="00A96FC3" w:rsidRPr="00EB7CFC" w14:paraId="2AD62CEB" w14:textId="77777777" w:rsidTr="00682688">
        <w:tc>
          <w:tcPr>
            <w:tcW w:w="2552" w:type="dxa"/>
          </w:tcPr>
          <w:p w14:paraId="79816269" w14:textId="77777777" w:rsidR="00A96FC3" w:rsidRPr="00EB7CFC" w:rsidRDefault="00A96FC3" w:rsidP="00682688">
            <w:pPr>
              <w:keepNext/>
              <w:snapToGrid w:val="0"/>
              <w:rPr>
                <w:rFonts w:asciiTheme="minorHAnsi" w:hAnsiTheme="minorHAnsi" w:cstheme="minorHAnsi"/>
              </w:rPr>
            </w:pPr>
            <w:r w:rsidRPr="00EB7CFC">
              <w:rPr>
                <w:rFonts w:asciiTheme="minorHAnsi" w:hAnsiTheme="minorHAnsi" w:cstheme="minorHAnsi"/>
              </w:rPr>
              <w:t>United States and Canada</w:t>
            </w:r>
          </w:p>
        </w:tc>
        <w:tc>
          <w:tcPr>
            <w:tcW w:w="2551" w:type="dxa"/>
          </w:tcPr>
          <w:p w14:paraId="73A95C30" w14:textId="77777777" w:rsidR="00A96FC3" w:rsidRPr="00EB7CFC" w:rsidRDefault="00A96FC3" w:rsidP="00682688">
            <w:pPr>
              <w:keepNext/>
              <w:snapToGrid w:val="0"/>
              <w:jc w:val="both"/>
              <w:rPr>
                <w:rFonts w:asciiTheme="minorHAnsi" w:hAnsiTheme="minorHAnsi" w:cstheme="minorHAnsi"/>
                <w:bCs/>
              </w:rPr>
            </w:pPr>
            <w:r w:rsidRPr="00EB7CFC">
              <w:rPr>
                <w:rFonts w:asciiTheme="minorHAnsi" w:hAnsiTheme="minorHAnsi" w:cstheme="minorHAnsi"/>
                <w:bCs/>
              </w:rPr>
              <w:t>Michele Katz</w:t>
            </w:r>
          </w:p>
        </w:tc>
        <w:tc>
          <w:tcPr>
            <w:tcW w:w="2405" w:type="dxa"/>
          </w:tcPr>
          <w:p w14:paraId="43429BFE" w14:textId="77777777" w:rsidR="00A96FC3" w:rsidRPr="00EB7CFC" w:rsidRDefault="00A96FC3" w:rsidP="00682688">
            <w:pPr>
              <w:keepNext/>
              <w:snapToGrid w:val="0"/>
              <w:jc w:val="both"/>
              <w:rPr>
                <w:rFonts w:asciiTheme="minorHAnsi" w:hAnsiTheme="minorHAnsi" w:cstheme="minorHAnsi"/>
                <w:bCs/>
              </w:rPr>
            </w:pPr>
            <w:r w:rsidRPr="00EB7CFC">
              <w:rPr>
                <w:rFonts w:asciiTheme="minorHAnsi" w:hAnsiTheme="minorHAnsi" w:cstheme="minorHAnsi"/>
              </w:rPr>
              <w:t>michele.katz@3ds.com</w:t>
            </w:r>
          </w:p>
        </w:tc>
        <w:tc>
          <w:tcPr>
            <w:tcW w:w="1842" w:type="dxa"/>
          </w:tcPr>
          <w:p w14:paraId="6D67312B" w14:textId="77777777" w:rsidR="00A96FC3" w:rsidRPr="00EB7CFC" w:rsidRDefault="00A96FC3" w:rsidP="00682688">
            <w:pPr>
              <w:keepNext/>
              <w:snapToGrid w:val="0"/>
              <w:jc w:val="both"/>
              <w:rPr>
                <w:rFonts w:asciiTheme="minorHAnsi" w:hAnsiTheme="minorHAnsi" w:cstheme="minorHAnsi"/>
                <w:bCs/>
              </w:rPr>
            </w:pPr>
          </w:p>
        </w:tc>
      </w:tr>
      <w:tr w:rsidR="00A96FC3" w:rsidRPr="00EB7CFC" w14:paraId="67556F7C" w14:textId="77777777" w:rsidTr="00682688">
        <w:tc>
          <w:tcPr>
            <w:tcW w:w="2552" w:type="dxa"/>
          </w:tcPr>
          <w:p w14:paraId="7585F53B" w14:textId="77777777" w:rsidR="00A96FC3" w:rsidRPr="00EB7CFC" w:rsidRDefault="00A96FC3" w:rsidP="00682688">
            <w:pPr>
              <w:keepNext/>
              <w:snapToGrid w:val="0"/>
              <w:rPr>
                <w:rFonts w:asciiTheme="minorHAnsi" w:hAnsiTheme="minorHAnsi" w:cstheme="minorHAnsi"/>
                <w:sz w:val="16"/>
                <w:szCs w:val="16"/>
              </w:rPr>
            </w:pPr>
          </w:p>
        </w:tc>
        <w:tc>
          <w:tcPr>
            <w:tcW w:w="2551" w:type="dxa"/>
          </w:tcPr>
          <w:p w14:paraId="2F1DCBAD" w14:textId="77777777" w:rsidR="00A96FC3" w:rsidRPr="00EB7CFC" w:rsidRDefault="00A96FC3" w:rsidP="00682688">
            <w:pPr>
              <w:keepNext/>
              <w:snapToGrid w:val="0"/>
              <w:jc w:val="both"/>
              <w:rPr>
                <w:rFonts w:asciiTheme="minorHAnsi" w:hAnsiTheme="minorHAnsi" w:cstheme="minorHAnsi"/>
                <w:bCs/>
              </w:rPr>
            </w:pPr>
          </w:p>
        </w:tc>
        <w:tc>
          <w:tcPr>
            <w:tcW w:w="2405" w:type="dxa"/>
          </w:tcPr>
          <w:p w14:paraId="251B6D69" w14:textId="77777777" w:rsidR="00A96FC3" w:rsidRPr="00EB7CFC" w:rsidRDefault="00A96FC3" w:rsidP="00682688">
            <w:pPr>
              <w:keepNext/>
              <w:snapToGrid w:val="0"/>
              <w:jc w:val="both"/>
              <w:rPr>
                <w:rFonts w:asciiTheme="minorHAnsi" w:hAnsiTheme="minorHAnsi" w:cstheme="minorHAnsi"/>
              </w:rPr>
            </w:pPr>
          </w:p>
        </w:tc>
        <w:tc>
          <w:tcPr>
            <w:tcW w:w="1842" w:type="dxa"/>
          </w:tcPr>
          <w:p w14:paraId="28412C83" w14:textId="77777777" w:rsidR="00A96FC3" w:rsidRPr="00EB7CFC" w:rsidRDefault="00A96FC3" w:rsidP="00682688">
            <w:pPr>
              <w:keepNext/>
              <w:snapToGrid w:val="0"/>
              <w:jc w:val="both"/>
              <w:rPr>
                <w:rFonts w:asciiTheme="minorHAnsi" w:hAnsiTheme="minorHAnsi" w:cstheme="minorHAnsi"/>
                <w:bCs/>
              </w:rPr>
            </w:pPr>
          </w:p>
        </w:tc>
      </w:tr>
      <w:tr w:rsidR="00A96FC3" w:rsidRPr="00EB7CFC" w14:paraId="485969FB" w14:textId="77777777" w:rsidTr="00682688">
        <w:tc>
          <w:tcPr>
            <w:tcW w:w="2552" w:type="dxa"/>
          </w:tcPr>
          <w:p w14:paraId="53A2D657" w14:textId="77777777" w:rsidR="00A96FC3" w:rsidRPr="00EB7CFC" w:rsidRDefault="00A96FC3" w:rsidP="00682688">
            <w:pPr>
              <w:jc w:val="both"/>
              <w:rPr>
                <w:rFonts w:asciiTheme="minorHAnsi" w:hAnsiTheme="minorHAnsi" w:cstheme="minorHAnsi"/>
              </w:rPr>
            </w:pPr>
            <w:r w:rsidRPr="00EB7CFC">
              <w:rPr>
                <w:rFonts w:asciiTheme="minorHAnsi" w:hAnsiTheme="minorHAnsi" w:cstheme="minorHAnsi"/>
              </w:rPr>
              <w:t>FTI Consulting</w:t>
            </w:r>
          </w:p>
          <w:p w14:paraId="2905AFD5" w14:textId="77777777" w:rsidR="00A96FC3" w:rsidRPr="00EB7CFC" w:rsidRDefault="00A96FC3" w:rsidP="00682688">
            <w:pPr>
              <w:keepNext/>
              <w:snapToGrid w:val="0"/>
              <w:jc w:val="both"/>
              <w:rPr>
                <w:rFonts w:asciiTheme="minorHAnsi" w:hAnsiTheme="minorHAnsi" w:cstheme="minorHAnsi"/>
                <w:bCs/>
              </w:rPr>
            </w:pPr>
          </w:p>
        </w:tc>
        <w:tc>
          <w:tcPr>
            <w:tcW w:w="2551" w:type="dxa"/>
          </w:tcPr>
          <w:p w14:paraId="5A374B41" w14:textId="77777777" w:rsidR="00A96FC3" w:rsidRPr="0060782E" w:rsidRDefault="00A96FC3" w:rsidP="00682688">
            <w:pPr>
              <w:jc w:val="both"/>
              <w:rPr>
                <w:rFonts w:asciiTheme="minorHAnsi" w:hAnsiTheme="minorHAnsi" w:cstheme="minorHAnsi"/>
                <w:lang w:val="fr-FR"/>
              </w:rPr>
            </w:pPr>
            <w:r w:rsidRPr="0060782E">
              <w:rPr>
                <w:rFonts w:asciiTheme="minorHAnsi" w:hAnsiTheme="minorHAnsi" w:cstheme="minorHAnsi"/>
                <w:lang w:val="fr-FR"/>
              </w:rPr>
              <w:t>Jamie Ricketts</w:t>
            </w:r>
          </w:p>
          <w:p w14:paraId="164EE464" w14:textId="77777777" w:rsidR="00A96FC3" w:rsidRPr="0060782E" w:rsidRDefault="00A96FC3" w:rsidP="00682688">
            <w:pPr>
              <w:rPr>
                <w:rFonts w:asciiTheme="minorHAnsi" w:hAnsiTheme="minorHAnsi" w:cstheme="minorHAnsi"/>
                <w:lang w:val="fr-FR"/>
              </w:rPr>
            </w:pPr>
            <w:r w:rsidRPr="0060782E">
              <w:rPr>
                <w:rFonts w:asciiTheme="minorHAnsi" w:hAnsiTheme="minorHAnsi" w:cstheme="minorHAnsi"/>
                <w:lang w:val="fr-FR"/>
              </w:rPr>
              <w:t>Arnaud de Cheffontaines</w:t>
            </w:r>
          </w:p>
        </w:tc>
        <w:tc>
          <w:tcPr>
            <w:tcW w:w="2405" w:type="dxa"/>
          </w:tcPr>
          <w:p w14:paraId="6B9C99C1" w14:textId="77777777" w:rsidR="00A96FC3" w:rsidRPr="0060782E" w:rsidRDefault="00A96FC3" w:rsidP="00682688">
            <w:pPr>
              <w:keepNext/>
              <w:snapToGrid w:val="0"/>
              <w:jc w:val="both"/>
              <w:rPr>
                <w:rFonts w:asciiTheme="minorHAnsi" w:hAnsiTheme="minorHAnsi" w:cstheme="minorHAnsi"/>
                <w:bCs/>
                <w:lang w:val="fr-FR"/>
              </w:rPr>
            </w:pPr>
          </w:p>
        </w:tc>
        <w:tc>
          <w:tcPr>
            <w:tcW w:w="1842" w:type="dxa"/>
          </w:tcPr>
          <w:p w14:paraId="71C3819D" w14:textId="77777777" w:rsidR="00A96FC3" w:rsidRPr="00EB7CFC" w:rsidRDefault="00A96FC3" w:rsidP="00682688">
            <w:pPr>
              <w:jc w:val="both"/>
              <w:rPr>
                <w:rFonts w:asciiTheme="minorHAnsi" w:hAnsiTheme="minorHAnsi" w:cstheme="minorHAnsi"/>
              </w:rPr>
            </w:pPr>
            <w:r w:rsidRPr="00EB7CFC">
              <w:rPr>
                <w:rFonts w:asciiTheme="minorHAnsi" w:hAnsiTheme="minorHAnsi" w:cstheme="minorHAnsi"/>
              </w:rPr>
              <w:t>+44.20.3727.1000</w:t>
            </w:r>
          </w:p>
          <w:p w14:paraId="745051A7" w14:textId="77777777" w:rsidR="00A96FC3" w:rsidRPr="00EB7CFC" w:rsidRDefault="00A96FC3" w:rsidP="00682688">
            <w:pPr>
              <w:jc w:val="both"/>
              <w:rPr>
                <w:rFonts w:asciiTheme="minorHAnsi" w:hAnsiTheme="minorHAnsi" w:cstheme="minorHAnsi"/>
              </w:rPr>
            </w:pPr>
            <w:r w:rsidRPr="00EB7CFC">
              <w:rPr>
                <w:rFonts w:asciiTheme="minorHAnsi" w:hAnsiTheme="minorHAnsi" w:cstheme="minorHAnsi"/>
              </w:rPr>
              <w:t>+33.1.47.03.69.48</w:t>
            </w:r>
          </w:p>
        </w:tc>
      </w:tr>
    </w:tbl>
    <w:p w14:paraId="294394D5" w14:textId="77777777" w:rsidR="00A96FC3" w:rsidRPr="00EB7CFC" w:rsidRDefault="00A96FC3" w:rsidP="00A96FC3">
      <w:pPr>
        <w:autoSpaceDE w:val="0"/>
        <w:autoSpaceDN w:val="0"/>
        <w:jc w:val="both"/>
        <w:rPr>
          <w:rFonts w:asciiTheme="minorHAnsi" w:hAnsiTheme="minorHAnsi" w:cstheme="minorHAnsi"/>
          <w:sz w:val="20"/>
          <w:szCs w:val="20"/>
          <w:lang w:eastAsia="fr-FR"/>
        </w:rPr>
      </w:pPr>
    </w:p>
    <w:p w14:paraId="20B17045" w14:textId="77777777" w:rsidR="00A96FC3" w:rsidRPr="00EB7CFC" w:rsidRDefault="00A96FC3" w:rsidP="00A96FC3">
      <w:pPr>
        <w:jc w:val="both"/>
        <w:rPr>
          <w:rFonts w:asciiTheme="minorHAnsi" w:hAnsiTheme="minorHAnsi" w:cstheme="minorHAnsi"/>
          <w:sz w:val="20"/>
          <w:szCs w:val="20"/>
        </w:rPr>
      </w:pPr>
    </w:p>
    <w:p w14:paraId="522CC615" w14:textId="77777777" w:rsidR="00A96FC3" w:rsidRPr="00EB7CFC" w:rsidRDefault="00A96FC3" w:rsidP="00A96FC3">
      <w:pPr>
        <w:keepNext/>
        <w:snapToGrid w:val="0"/>
        <w:jc w:val="both"/>
        <w:rPr>
          <w:rFonts w:asciiTheme="minorHAnsi" w:hAnsiTheme="minorHAnsi" w:cstheme="minorHAnsi"/>
          <w:b/>
          <w:bCs/>
          <w:sz w:val="20"/>
          <w:szCs w:val="20"/>
        </w:rPr>
      </w:pPr>
      <w:r w:rsidRPr="00EB7CFC">
        <w:rPr>
          <w:rFonts w:asciiTheme="minorHAnsi" w:hAnsiTheme="minorHAnsi" w:cstheme="minorHAnsi"/>
          <w:b/>
          <w:bCs/>
          <w:sz w:val="20"/>
          <w:szCs w:val="20"/>
        </w:rPr>
        <w:t>Dassault Systèmes Press Contacts</w:t>
      </w:r>
    </w:p>
    <w:p w14:paraId="1AB7E441" w14:textId="77777777" w:rsidR="00A96FC3" w:rsidRPr="00EB7CFC" w:rsidRDefault="00A96FC3" w:rsidP="00A96FC3">
      <w:pPr>
        <w:tabs>
          <w:tab w:val="left" w:pos="1890"/>
          <w:tab w:val="left" w:pos="4395"/>
          <w:tab w:val="left" w:pos="7371"/>
        </w:tabs>
        <w:snapToGrid w:val="0"/>
        <w:rPr>
          <w:rFonts w:asciiTheme="minorHAnsi" w:hAnsiTheme="minorHAnsi" w:cstheme="minorHAnsi"/>
          <w:sz w:val="20"/>
          <w:szCs w:val="20"/>
        </w:rPr>
      </w:pPr>
      <w:r w:rsidRPr="00EB7CFC">
        <w:rPr>
          <w:rFonts w:asciiTheme="minorHAnsi" w:hAnsiTheme="minorHAnsi" w:cstheme="minorHAnsi"/>
          <w:sz w:val="20"/>
          <w:szCs w:val="20"/>
        </w:rPr>
        <w:t>Corporate / France</w:t>
      </w:r>
      <w:r w:rsidRPr="00EB7CFC">
        <w:rPr>
          <w:rFonts w:asciiTheme="minorHAnsi" w:hAnsiTheme="minorHAnsi" w:cstheme="minorHAnsi"/>
          <w:sz w:val="20"/>
          <w:szCs w:val="20"/>
        </w:rPr>
        <w:tab/>
        <w:t>Arnaud MALHERBE</w:t>
      </w:r>
      <w:r w:rsidRPr="00EB7CFC">
        <w:rPr>
          <w:rFonts w:asciiTheme="minorHAnsi" w:hAnsiTheme="minorHAnsi" w:cstheme="minorHAnsi"/>
          <w:sz w:val="20"/>
          <w:szCs w:val="20"/>
        </w:rPr>
        <w:tab/>
      </w:r>
      <w:hyperlink r:id="rId15" w:history="1">
        <w:r w:rsidRPr="00EB7CFC">
          <w:rPr>
            <w:rStyle w:val="Hyperlink"/>
            <w:rFonts w:asciiTheme="minorHAnsi" w:hAnsiTheme="minorHAnsi" w:cstheme="minorHAnsi"/>
            <w:sz w:val="20"/>
            <w:szCs w:val="20"/>
          </w:rPr>
          <w:t>arnaud.malherbe@3ds.com</w:t>
        </w:r>
      </w:hyperlink>
      <w:r w:rsidRPr="00EB7CFC">
        <w:rPr>
          <w:rFonts w:asciiTheme="minorHAnsi" w:hAnsiTheme="minorHAnsi" w:cstheme="minorHAnsi"/>
          <w:sz w:val="20"/>
          <w:szCs w:val="20"/>
        </w:rPr>
        <w:tab/>
        <w:t>+33 (0)1 61 62 87 73</w:t>
      </w:r>
    </w:p>
    <w:p w14:paraId="1BBC562D" w14:textId="77777777" w:rsidR="00A96FC3" w:rsidRPr="00EB7CFC" w:rsidRDefault="00A96FC3" w:rsidP="00A96FC3">
      <w:pPr>
        <w:tabs>
          <w:tab w:val="left" w:pos="1890"/>
          <w:tab w:val="left" w:pos="4395"/>
          <w:tab w:val="left" w:pos="7371"/>
        </w:tabs>
        <w:snapToGrid w:val="0"/>
        <w:rPr>
          <w:rFonts w:asciiTheme="minorHAnsi" w:hAnsiTheme="minorHAnsi" w:cstheme="minorHAnsi"/>
          <w:color w:val="000000"/>
          <w:sz w:val="20"/>
          <w:szCs w:val="20"/>
        </w:rPr>
      </w:pPr>
      <w:r w:rsidRPr="00EB7CFC">
        <w:rPr>
          <w:rFonts w:asciiTheme="minorHAnsi" w:hAnsiTheme="minorHAnsi" w:cstheme="minorHAnsi"/>
          <w:sz w:val="20"/>
          <w:szCs w:val="20"/>
        </w:rPr>
        <w:t>North America</w:t>
      </w:r>
      <w:r w:rsidRPr="00EB7CFC">
        <w:rPr>
          <w:rFonts w:asciiTheme="minorHAnsi" w:hAnsiTheme="minorHAnsi" w:cstheme="minorHAnsi"/>
          <w:sz w:val="20"/>
          <w:szCs w:val="20"/>
        </w:rPr>
        <w:tab/>
        <w:t>Suzanne MORAN</w:t>
      </w:r>
      <w:r w:rsidRPr="00EB7CFC">
        <w:rPr>
          <w:rFonts w:asciiTheme="minorHAnsi" w:hAnsiTheme="minorHAnsi" w:cstheme="minorHAnsi"/>
          <w:sz w:val="20"/>
          <w:szCs w:val="20"/>
        </w:rPr>
        <w:tab/>
      </w:r>
      <w:hyperlink r:id="rId16" w:history="1">
        <w:r w:rsidRPr="00EB7CFC">
          <w:rPr>
            <w:rStyle w:val="Hyperlink"/>
            <w:rFonts w:asciiTheme="minorHAnsi" w:hAnsiTheme="minorHAnsi" w:cstheme="minorHAnsi"/>
            <w:sz w:val="20"/>
            <w:szCs w:val="20"/>
          </w:rPr>
          <w:t>suzanne.moran@3ds.com</w:t>
        </w:r>
      </w:hyperlink>
      <w:r w:rsidRPr="00EB7CFC">
        <w:rPr>
          <w:rFonts w:asciiTheme="minorHAnsi" w:hAnsiTheme="minorHAnsi" w:cstheme="minorHAnsi"/>
          <w:sz w:val="20"/>
          <w:szCs w:val="20"/>
        </w:rPr>
        <w:tab/>
      </w:r>
      <w:r w:rsidRPr="00EB7CFC">
        <w:rPr>
          <w:rFonts w:asciiTheme="minorHAnsi" w:hAnsiTheme="minorHAnsi" w:cstheme="minorHAnsi"/>
          <w:color w:val="000000"/>
          <w:sz w:val="20"/>
          <w:szCs w:val="20"/>
        </w:rPr>
        <w:t>+1 (781) 810 3774</w:t>
      </w:r>
    </w:p>
    <w:p w14:paraId="2342B78B" w14:textId="77777777" w:rsidR="00A96FC3" w:rsidRPr="00EB7CFC" w:rsidRDefault="00A96FC3" w:rsidP="00A96FC3">
      <w:pPr>
        <w:tabs>
          <w:tab w:val="left" w:pos="1890"/>
          <w:tab w:val="left" w:pos="4395"/>
          <w:tab w:val="left" w:pos="7371"/>
        </w:tabs>
        <w:snapToGrid w:val="0"/>
        <w:rPr>
          <w:rFonts w:asciiTheme="minorHAnsi" w:hAnsiTheme="minorHAnsi" w:cstheme="minorHAnsi"/>
          <w:sz w:val="20"/>
          <w:szCs w:val="20"/>
        </w:rPr>
      </w:pPr>
      <w:r w:rsidRPr="00EB7CFC">
        <w:rPr>
          <w:rFonts w:asciiTheme="minorHAnsi" w:hAnsiTheme="minorHAnsi" w:cstheme="minorHAnsi"/>
          <w:sz w:val="20"/>
          <w:szCs w:val="20"/>
        </w:rPr>
        <w:t>EMEAR</w:t>
      </w:r>
      <w:r w:rsidRPr="00EB7CFC">
        <w:rPr>
          <w:rFonts w:asciiTheme="minorHAnsi" w:hAnsiTheme="minorHAnsi" w:cstheme="minorHAnsi"/>
          <w:sz w:val="20"/>
          <w:szCs w:val="20"/>
        </w:rPr>
        <w:tab/>
        <w:t>Virginie BLINDENBERG</w:t>
      </w:r>
      <w:r w:rsidRPr="00EB7CFC">
        <w:rPr>
          <w:rFonts w:asciiTheme="minorHAnsi" w:hAnsiTheme="minorHAnsi" w:cstheme="minorHAnsi"/>
          <w:sz w:val="20"/>
          <w:szCs w:val="20"/>
        </w:rPr>
        <w:tab/>
      </w:r>
      <w:hyperlink r:id="rId17" w:history="1">
        <w:r w:rsidRPr="00EB7CFC">
          <w:rPr>
            <w:rStyle w:val="Hyperlink"/>
            <w:rFonts w:asciiTheme="minorHAnsi" w:hAnsiTheme="minorHAnsi" w:cstheme="minorHAnsi"/>
            <w:sz w:val="20"/>
            <w:szCs w:val="20"/>
          </w:rPr>
          <w:t>virginie.blindenberg@3ds.com</w:t>
        </w:r>
      </w:hyperlink>
      <w:r w:rsidRPr="00EB7CFC">
        <w:rPr>
          <w:rFonts w:asciiTheme="minorHAnsi" w:hAnsiTheme="minorHAnsi" w:cstheme="minorHAnsi"/>
          <w:sz w:val="20"/>
          <w:szCs w:val="20"/>
        </w:rPr>
        <w:tab/>
        <w:t>+33 (0) 1 61 62 84 21</w:t>
      </w:r>
    </w:p>
    <w:p w14:paraId="51881601" w14:textId="77777777" w:rsidR="00A96FC3" w:rsidRPr="00EB7CFC" w:rsidRDefault="00A96FC3" w:rsidP="00A96FC3">
      <w:pPr>
        <w:tabs>
          <w:tab w:val="left" w:pos="1890"/>
          <w:tab w:val="left" w:pos="4395"/>
          <w:tab w:val="left" w:pos="7371"/>
        </w:tabs>
        <w:snapToGrid w:val="0"/>
        <w:rPr>
          <w:rFonts w:asciiTheme="minorHAnsi" w:hAnsiTheme="minorHAnsi" w:cstheme="minorHAnsi"/>
          <w:sz w:val="20"/>
          <w:szCs w:val="20"/>
        </w:rPr>
      </w:pPr>
      <w:r w:rsidRPr="00EB7CFC">
        <w:rPr>
          <w:rFonts w:asciiTheme="minorHAnsi" w:hAnsiTheme="minorHAnsi" w:cstheme="minorHAnsi"/>
          <w:sz w:val="20"/>
          <w:szCs w:val="20"/>
        </w:rPr>
        <w:t>China</w:t>
      </w:r>
      <w:r w:rsidRPr="00EB7CFC">
        <w:rPr>
          <w:rFonts w:asciiTheme="minorHAnsi" w:hAnsiTheme="minorHAnsi" w:cstheme="minorHAnsi"/>
          <w:sz w:val="20"/>
          <w:szCs w:val="20"/>
        </w:rPr>
        <w:tab/>
        <w:t>Grace MU</w:t>
      </w:r>
      <w:r w:rsidRPr="00EB7CFC">
        <w:rPr>
          <w:rFonts w:asciiTheme="minorHAnsi" w:hAnsiTheme="minorHAnsi" w:cstheme="minorHAnsi"/>
          <w:sz w:val="20"/>
          <w:szCs w:val="20"/>
        </w:rPr>
        <w:tab/>
      </w:r>
      <w:hyperlink r:id="rId18" w:history="1">
        <w:r w:rsidRPr="00EB7CFC">
          <w:rPr>
            <w:rStyle w:val="Hyperlink"/>
            <w:rFonts w:asciiTheme="minorHAnsi" w:hAnsiTheme="minorHAnsi" w:cstheme="minorHAnsi"/>
            <w:sz w:val="20"/>
            <w:szCs w:val="20"/>
          </w:rPr>
          <w:t>grace.mu@3ds.com</w:t>
        </w:r>
      </w:hyperlink>
      <w:r w:rsidRPr="00EB7CFC">
        <w:rPr>
          <w:rFonts w:asciiTheme="minorHAnsi" w:hAnsiTheme="minorHAnsi" w:cstheme="minorHAnsi"/>
          <w:sz w:val="20"/>
          <w:szCs w:val="20"/>
        </w:rPr>
        <w:tab/>
        <w:t>+86 10 6536 2288</w:t>
      </w:r>
    </w:p>
    <w:p w14:paraId="6CC0FB47" w14:textId="77777777" w:rsidR="00A96FC3" w:rsidRPr="00EB7CFC" w:rsidRDefault="00A96FC3" w:rsidP="00A96FC3">
      <w:pPr>
        <w:tabs>
          <w:tab w:val="left" w:pos="1890"/>
          <w:tab w:val="left" w:pos="4395"/>
          <w:tab w:val="left" w:pos="7371"/>
        </w:tabs>
        <w:snapToGrid w:val="0"/>
        <w:rPr>
          <w:rFonts w:asciiTheme="minorHAnsi" w:hAnsiTheme="minorHAnsi" w:cstheme="minorHAnsi"/>
          <w:sz w:val="20"/>
          <w:szCs w:val="20"/>
        </w:rPr>
      </w:pPr>
      <w:r w:rsidRPr="00EB7CFC">
        <w:rPr>
          <w:rFonts w:asciiTheme="minorHAnsi" w:hAnsiTheme="minorHAnsi" w:cstheme="minorHAnsi"/>
          <w:sz w:val="20"/>
          <w:szCs w:val="20"/>
        </w:rPr>
        <w:t xml:space="preserve">India </w:t>
      </w:r>
      <w:r w:rsidRPr="00EB7CFC">
        <w:rPr>
          <w:rFonts w:asciiTheme="minorHAnsi" w:hAnsiTheme="minorHAnsi" w:cstheme="minorHAnsi"/>
          <w:sz w:val="20"/>
          <w:szCs w:val="20"/>
        </w:rPr>
        <w:tab/>
        <w:t>Santanu BHATTACHARYA</w:t>
      </w:r>
      <w:r w:rsidRPr="00EB7CFC">
        <w:rPr>
          <w:rFonts w:asciiTheme="minorHAnsi" w:hAnsiTheme="minorHAnsi" w:cstheme="minorHAnsi"/>
          <w:sz w:val="20"/>
          <w:szCs w:val="20"/>
        </w:rPr>
        <w:tab/>
      </w:r>
      <w:hyperlink r:id="rId19" w:history="1">
        <w:r w:rsidRPr="00EB7CFC">
          <w:rPr>
            <w:rStyle w:val="Hyperlink"/>
            <w:rFonts w:asciiTheme="minorHAnsi" w:hAnsiTheme="minorHAnsi" w:cstheme="minorHAnsi"/>
            <w:sz w:val="20"/>
            <w:szCs w:val="20"/>
          </w:rPr>
          <w:t>santanu.bhattacharya@3ds.com</w:t>
        </w:r>
      </w:hyperlink>
      <w:r w:rsidRPr="00EB7CFC">
        <w:rPr>
          <w:rFonts w:asciiTheme="minorHAnsi" w:hAnsiTheme="minorHAnsi" w:cstheme="minorHAnsi"/>
          <w:sz w:val="20"/>
          <w:szCs w:val="20"/>
        </w:rPr>
        <w:tab/>
        <w:t>+91 124 457 7111</w:t>
      </w:r>
    </w:p>
    <w:p w14:paraId="4274C79B" w14:textId="77777777" w:rsidR="00A96FC3" w:rsidRPr="00EB7CFC" w:rsidRDefault="00A96FC3" w:rsidP="00A96FC3">
      <w:pPr>
        <w:tabs>
          <w:tab w:val="left" w:pos="1890"/>
          <w:tab w:val="left" w:pos="4395"/>
          <w:tab w:val="left" w:pos="7371"/>
        </w:tabs>
        <w:snapToGrid w:val="0"/>
        <w:rPr>
          <w:rFonts w:asciiTheme="minorHAnsi" w:hAnsiTheme="minorHAnsi" w:cstheme="minorHAnsi"/>
          <w:color w:val="000000"/>
          <w:sz w:val="20"/>
          <w:szCs w:val="20"/>
        </w:rPr>
      </w:pPr>
      <w:r w:rsidRPr="00EB7CFC">
        <w:rPr>
          <w:rFonts w:asciiTheme="minorHAnsi" w:hAnsiTheme="minorHAnsi" w:cstheme="minorHAnsi"/>
          <w:sz w:val="20"/>
          <w:szCs w:val="20"/>
        </w:rPr>
        <w:t>Japan</w:t>
      </w:r>
      <w:r w:rsidRPr="00EB7CFC">
        <w:rPr>
          <w:rFonts w:asciiTheme="minorHAnsi" w:hAnsiTheme="minorHAnsi" w:cstheme="minorHAnsi"/>
          <w:sz w:val="20"/>
          <w:szCs w:val="20"/>
        </w:rPr>
        <w:tab/>
        <w:t>Yukiko SATO</w:t>
      </w:r>
      <w:r w:rsidRPr="00EB7CFC">
        <w:rPr>
          <w:rFonts w:asciiTheme="minorHAnsi" w:hAnsiTheme="minorHAnsi" w:cstheme="minorHAnsi"/>
          <w:sz w:val="20"/>
          <w:szCs w:val="20"/>
        </w:rPr>
        <w:tab/>
      </w:r>
      <w:hyperlink r:id="rId20" w:history="1">
        <w:r w:rsidRPr="00EB7CFC">
          <w:rPr>
            <w:rStyle w:val="Hyperlink"/>
            <w:rFonts w:asciiTheme="minorHAnsi" w:hAnsiTheme="minorHAnsi" w:cstheme="minorHAnsi"/>
            <w:sz w:val="20"/>
            <w:szCs w:val="20"/>
          </w:rPr>
          <w:t>yukiko.sato@3ds.com</w:t>
        </w:r>
      </w:hyperlink>
      <w:r w:rsidRPr="00EB7CFC">
        <w:rPr>
          <w:rFonts w:asciiTheme="minorHAnsi" w:hAnsiTheme="minorHAnsi" w:cstheme="minorHAnsi"/>
          <w:sz w:val="20"/>
          <w:szCs w:val="20"/>
        </w:rPr>
        <w:tab/>
        <w:t xml:space="preserve">+81 3 4321 </w:t>
      </w:r>
      <w:r w:rsidRPr="00EB7CFC">
        <w:rPr>
          <w:rFonts w:asciiTheme="minorHAnsi" w:hAnsiTheme="minorHAnsi" w:cstheme="minorHAnsi"/>
          <w:color w:val="000000"/>
          <w:sz w:val="20"/>
          <w:szCs w:val="20"/>
        </w:rPr>
        <w:t>3841</w:t>
      </w:r>
    </w:p>
    <w:p w14:paraId="151A660B" w14:textId="77777777" w:rsidR="00A96FC3" w:rsidRPr="00EB7CFC" w:rsidRDefault="00A96FC3" w:rsidP="00A96FC3">
      <w:pPr>
        <w:tabs>
          <w:tab w:val="left" w:pos="1890"/>
          <w:tab w:val="left" w:pos="4395"/>
          <w:tab w:val="left" w:pos="7371"/>
        </w:tabs>
        <w:snapToGrid w:val="0"/>
        <w:rPr>
          <w:rFonts w:asciiTheme="minorHAnsi" w:hAnsiTheme="minorHAnsi" w:cstheme="minorHAnsi"/>
          <w:color w:val="000000"/>
          <w:sz w:val="20"/>
          <w:szCs w:val="20"/>
        </w:rPr>
      </w:pPr>
      <w:r w:rsidRPr="00EB7CFC">
        <w:rPr>
          <w:rFonts w:asciiTheme="minorHAnsi" w:hAnsiTheme="minorHAnsi" w:cstheme="minorHAnsi"/>
          <w:color w:val="000000"/>
          <w:sz w:val="20"/>
          <w:szCs w:val="20"/>
        </w:rPr>
        <w:t>Korea</w:t>
      </w:r>
      <w:r w:rsidRPr="00EB7CFC">
        <w:rPr>
          <w:rFonts w:asciiTheme="minorHAnsi" w:hAnsiTheme="minorHAnsi" w:cstheme="minorHAnsi"/>
          <w:color w:val="000000"/>
          <w:sz w:val="20"/>
          <w:szCs w:val="20"/>
        </w:rPr>
        <w:tab/>
      </w:r>
      <w:proofErr w:type="spellStart"/>
      <w:r w:rsidRPr="00EB7CFC">
        <w:rPr>
          <w:rFonts w:asciiTheme="minorHAnsi" w:hAnsiTheme="minorHAnsi" w:cstheme="minorHAnsi"/>
          <w:sz w:val="20"/>
          <w:szCs w:val="20"/>
        </w:rPr>
        <w:t>Hyunkyung</w:t>
      </w:r>
      <w:proofErr w:type="spellEnd"/>
      <w:r w:rsidRPr="00EB7CFC">
        <w:rPr>
          <w:rFonts w:asciiTheme="minorHAnsi" w:hAnsiTheme="minorHAnsi" w:cstheme="minorHAnsi"/>
          <w:color w:val="000000"/>
          <w:sz w:val="20"/>
          <w:szCs w:val="20"/>
        </w:rPr>
        <w:t xml:space="preserve"> CHAE</w:t>
      </w:r>
      <w:r w:rsidRPr="00EB7CFC">
        <w:rPr>
          <w:rFonts w:asciiTheme="minorHAnsi" w:hAnsiTheme="minorHAnsi" w:cstheme="minorHAnsi"/>
          <w:color w:val="000000"/>
          <w:sz w:val="20"/>
          <w:szCs w:val="20"/>
        </w:rPr>
        <w:tab/>
      </w:r>
      <w:hyperlink r:id="rId21" w:history="1">
        <w:r w:rsidRPr="00EB7CFC">
          <w:rPr>
            <w:rStyle w:val="Hyperlink"/>
            <w:rFonts w:asciiTheme="minorHAnsi" w:hAnsiTheme="minorHAnsi" w:cstheme="minorHAnsi"/>
            <w:sz w:val="20"/>
            <w:szCs w:val="20"/>
          </w:rPr>
          <w:t>hyunkyung.chae@3ds.com</w:t>
        </w:r>
      </w:hyperlink>
      <w:r w:rsidRPr="00EB7CFC">
        <w:rPr>
          <w:rFonts w:asciiTheme="minorHAnsi" w:hAnsiTheme="minorHAnsi" w:cstheme="minorHAnsi"/>
          <w:color w:val="000000"/>
          <w:sz w:val="20"/>
          <w:szCs w:val="20"/>
        </w:rPr>
        <w:tab/>
        <w:t>+</w:t>
      </w:r>
      <w:r w:rsidRPr="00EB7CFC">
        <w:rPr>
          <w:rFonts w:asciiTheme="minorHAnsi" w:hAnsiTheme="minorHAnsi" w:cstheme="minorHAnsi"/>
          <w:sz w:val="20"/>
          <w:szCs w:val="20"/>
        </w:rPr>
        <w:t>82 2 3271 6653</w:t>
      </w:r>
    </w:p>
    <w:p w14:paraId="3C705DA7" w14:textId="05A4B1CD" w:rsidR="00A96FC3" w:rsidRPr="00EB7CFC" w:rsidRDefault="00A96FC3" w:rsidP="003943DF">
      <w:pPr>
        <w:tabs>
          <w:tab w:val="left" w:pos="1890"/>
          <w:tab w:val="left" w:pos="4395"/>
          <w:tab w:val="left" w:pos="7371"/>
        </w:tabs>
        <w:snapToGrid w:val="0"/>
        <w:rPr>
          <w:rFonts w:asciiTheme="minorHAnsi" w:hAnsiTheme="minorHAnsi" w:cstheme="minorHAnsi"/>
          <w:sz w:val="20"/>
          <w:szCs w:val="20"/>
        </w:rPr>
      </w:pPr>
      <w:r w:rsidRPr="00EB7CFC">
        <w:rPr>
          <w:rFonts w:asciiTheme="minorHAnsi" w:hAnsiTheme="minorHAnsi" w:cstheme="minorHAnsi"/>
          <w:sz w:val="20"/>
          <w:szCs w:val="20"/>
        </w:rPr>
        <w:t>AP South</w:t>
      </w:r>
      <w:r w:rsidRPr="00EB7CFC">
        <w:rPr>
          <w:rFonts w:asciiTheme="minorHAnsi" w:hAnsiTheme="minorHAnsi" w:cstheme="minorHAnsi"/>
          <w:sz w:val="20"/>
          <w:szCs w:val="20"/>
        </w:rPr>
        <w:tab/>
      </w:r>
      <w:proofErr w:type="spellStart"/>
      <w:r w:rsidRPr="00EB7CFC">
        <w:rPr>
          <w:rFonts w:asciiTheme="minorHAnsi" w:hAnsiTheme="minorHAnsi" w:cstheme="minorHAnsi"/>
          <w:sz w:val="20"/>
          <w:szCs w:val="20"/>
        </w:rPr>
        <w:t>Pallavi</w:t>
      </w:r>
      <w:proofErr w:type="spellEnd"/>
      <w:r w:rsidRPr="00EB7CFC">
        <w:rPr>
          <w:rFonts w:asciiTheme="minorHAnsi" w:hAnsiTheme="minorHAnsi" w:cstheme="minorHAnsi"/>
          <w:sz w:val="20"/>
          <w:szCs w:val="20"/>
        </w:rPr>
        <w:t xml:space="preserve"> MISRA</w:t>
      </w:r>
      <w:r w:rsidRPr="00EB7CFC">
        <w:rPr>
          <w:rFonts w:asciiTheme="minorHAnsi" w:hAnsiTheme="minorHAnsi" w:cstheme="minorHAnsi"/>
          <w:sz w:val="20"/>
          <w:szCs w:val="20"/>
        </w:rPr>
        <w:tab/>
      </w:r>
      <w:hyperlink r:id="rId22" w:history="1">
        <w:r w:rsidRPr="00EB7CFC">
          <w:rPr>
            <w:rStyle w:val="Hyperlink"/>
            <w:rFonts w:asciiTheme="minorHAnsi" w:hAnsiTheme="minorHAnsi" w:cstheme="minorHAnsi"/>
            <w:sz w:val="20"/>
            <w:szCs w:val="20"/>
          </w:rPr>
          <w:t>pallavi.misra@3ds.com</w:t>
        </w:r>
      </w:hyperlink>
      <w:r w:rsidRPr="00EB7CFC">
        <w:rPr>
          <w:rFonts w:asciiTheme="minorHAnsi" w:hAnsiTheme="minorHAnsi" w:cstheme="minorHAnsi"/>
          <w:sz w:val="20"/>
          <w:szCs w:val="20"/>
        </w:rPr>
        <w:t xml:space="preserve"> </w:t>
      </w:r>
      <w:r w:rsidRPr="00EB7CFC">
        <w:rPr>
          <w:rFonts w:asciiTheme="minorHAnsi" w:hAnsiTheme="minorHAnsi" w:cstheme="minorHAnsi"/>
          <w:sz w:val="20"/>
          <w:szCs w:val="20"/>
        </w:rPr>
        <w:tab/>
        <w:t>+65 9437 0714</w:t>
      </w:r>
    </w:p>
    <w:bookmarkEnd w:id="0"/>
    <w:bookmarkEnd w:id="1"/>
    <w:p w14:paraId="07743F1C" w14:textId="77777777" w:rsidR="00AD5164" w:rsidRPr="003C12D8" w:rsidRDefault="00AD5164">
      <w:pPr>
        <w:spacing w:after="200" w:line="276" w:lineRule="auto"/>
        <w:rPr>
          <w:rFonts w:asciiTheme="minorHAnsi" w:hAnsiTheme="minorHAnsi" w:cstheme="minorHAnsi"/>
          <w:b/>
          <w:bCs/>
        </w:rPr>
      </w:pPr>
      <w:r w:rsidRPr="003C12D8">
        <w:rPr>
          <w:rFonts w:asciiTheme="minorHAnsi" w:hAnsiTheme="minorHAnsi" w:cstheme="minorHAnsi"/>
          <w:b/>
          <w:bCs/>
        </w:rPr>
        <w:br w:type="page"/>
      </w:r>
    </w:p>
    <w:p w14:paraId="11A5D29E" w14:textId="77777777" w:rsidR="00A04C02" w:rsidRPr="003C12D8" w:rsidRDefault="00A04C02" w:rsidP="00A04C02">
      <w:pPr>
        <w:spacing w:after="200" w:line="276" w:lineRule="auto"/>
        <w:jc w:val="center"/>
        <w:rPr>
          <w:rFonts w:ascii="Times New Roman" w:eastAsia="MS Mincho" w:hAnsi="Times New Roman" w:cs="Times New Roman"/>
          <w:b/>
          <w:lang w:eastAsia="ja-JP"/>
        </w:rPr>
      </w:pPr>
      <w:r w:rsidRPr="003C12D8">
        <w:rPr>
          <w:rFonts w:ascii="Arial" w:hAnsi="Arial" w:cs="Arial"/>
          <w:b/>
          <w:bCs/>
        </w:rPr>
        <w:t>APPENDIX TABLE OF CONTENTS</w:t>
      </w:r>
    </w:p>
    <w:p w14:paraId="218DA8C7" w14:textId="1A15B44D" w:rsidR="00A04C02" w:rsidRPr="003C12D8" w:rsidRDefault="00A04C02" w:rsidP="00A04C02">
      <w:pPr>
        <w:spacing w:after="200" w:line="276" w:lineRule="auto"/>
        <w:jc w:val="both"/>
        <w:rPr>
          <w:rFonts w:ascii="Times New Roman" w:eastAsia="MS Mincho" w:hAnsi="Times New Roman" w:cs="Times New Roman"/>
          <w:b/>
          <w:lang w:eastAsia="ja-JP"/>
        </w:rPr>
      </w:pPr>
      <w:r w:rsidRPr="003C12D8">
        <w:rPr>
          <w:rFonts w:ascii="Arial" w:hAnsi="Arial" w:cs="Arial"/>
        </w:rPr>
        <w:t xml:space="preserve">(Due to rounding, numbers presented throughout </w:t>
      </w:r>
      <w:proofErr w:type="gramStart"/>
      <w:r w:rsidRPr="003C12D8">
        <w:rPr>
          <w:rFonts w:ascii="Arial" w:hAnsi="Arial" w:cs="Arial"/>
        </w:rPr>
        <w:t>this and other documents may not add up precisely to the totals provided</w:t>
      </w:r>
      <w:proofErr w:type="gramEnd"/>
      <w:r w:rsidRPr="003C12D8">
        <w:rPr>
          <w:rFonts w:ascii="Arial" w:hAnsi="Arial" w:cs="Arial"/>
        </w:rPr>
        <w:t xml:space="preserve"> and percentages may not precisely reflect the absolute figures)</w:t>
      </w:r>
      <w:r w:rsidR="00794957">
        <w:rPr>
          <w:rFonts w:ascii="Arial" w:hAnsi="Arial" w:cs="Arial"/>
        </w:rPr>
        <w:t>.</w:t>
      </w:r>
      <w:r w:rsidRPr="003C12D8">
        <w:rPr>
          <w:rFonts w:ascii="Times New Roman" w:eastAsia="MS Mincho" w:hAnsi="Times New Roman" w:cs="Times New Roman"/>
          <w:lang w:eastAsia="ja-JP"/>
        </w:rPr>
        <w:t xml:space="preserve">    </w:t>
      </w:r>
    </w:p>
    <w:p w14:paraId="5290A8AB" w14:textId="77777777" w:rsidR="00A04C02" w:rsidRPr="003C12D8" w:rsidRDefault="00A04C02" w:rsidP="00A04C02">
      <w:pPr>
        <w:jc w:val="center"/>
        <w:rPr>
          <w:rFonts w:ascii="Times New Roman" w:eastAsia="MS Mincho" w:hAnsi="Times New Roman" w:cs="Times New Roman"/>
          <w:lang w:eastAsia="ja-JP"/>
        </w:rPr>
      </w:pPr>
    </w:p>
    <w:p w14:paraId="12A381D0" w14:textId="77777777" w:rsidR="00A04C02" w:rsidRPr="003C12D8" w:rsidRDefault="00A04C02" w:rsidP="00A04C02">
      <w:pPr>
        <w:jc w:val="both"/>
        <w:rPr>
          <w:rFonts w:ascii="Times New Roman" w:eastAsia="MS Mincho" w:hAnsi="Times New Roman" w:cs="Times New Roman"/>
          <w:lang w:eastAsia="ja-JP"/>
        </w:rPr>
      </w:pPr>
    </w:p>
    <w:p w14:paraId="25B7CC4D" w14:textId="77777777" w:rsidR="00A04C02" w:rsidRPr="003C12D8" w:rsidRDefault="00A04C02" w:rsidP="00A04C02">
      <w:pPr>
        <w:rPr>
          <w:rFonts w:ascii="Times New Roman" w:eastAsia="MS Mincho" w:hAnsi="Times New Roman" w:cs="Times New Roman"/>
          <w:b/>
          <w:u w:val="single"/>
          <w:lang w:eastAsia="ja-JP"/>
        </w:rPr>
      </w:pPr>
    </w:p>
    <w:p w14:paraId="1725613E" w14:textId="77777777" w:rsidR="00A04C02" w:rsidRPr="003C12D8" w:rsidRDefault="00A04C02" w:rsidP="00A04C02">
      <w:pPr>
        <w:rPr>
          <w:rFonts w:ascii="Times New Roman" w:eastAsia="MS Mincho" w:hAnsi="Times New Roman" w:cs="Times New Roman"/>
          <w:lang w:eastAsia="ja-JP"/>
        </w:rPr>
      </w:pPr>
    </w:p>
    <w:p w14:paraId="10105501" w14:textId="77777777" w:rsidR="00A04C02" w:rsidRPr="003C12D8" w:rsidRDefault="00A04C02" w:rsidP="00A04C02">
      <w:pPr>
        <w:tabs>
          <w:tab w:val="left" w:pos="180"/>
          <w:tab w:val="left" w:pos="450"/>
          <w:tab w:val="right" w:pos="4860"/>
          <w:tab w:val="right" w:pos="6300"/>
          <w:tab w:val="right" w:pos="7740"/>
          <w:tab w:val="right" w:pos="9180"/>
        </w:tabs>
        <w:rPr>
          <w:rFonts w:ascii="Arial" w:hAnsi="Arial" w:cs="Arial"/>
        </w:rPr>
      </w:pPr>
      <w:r w:rsidRPr="003C12D8">
        <w:rPr>
          <w:rFonts w:ascii="Arial" w:hAnsi="Arial" w:cs="Arial"/>
        </w:rPr>
        <w:t>Glossary of Definitions</w:t>
      </w:r>
    </w:p>
    <w:p w14:paraId="5D99B3CB" w14:textId="77777777" w:rsidR="00A04C02" w:rsidRPr="003C12D8" w:rsidRDefault="00A04C02" w:rsidP="00A04C02">
      <w:pPr>
        <w:tabs>
          <w:tab w:val="left" w:pos="180"/>
          <w:tab w:val="left" w:pos="450"/>
          <w:tab w:val="right" w:pos="4860"/>
          <w:tab w:val="right" w:pos="6300"/>
          <w:tab w:val="right" w:pos="7740"/>
          <w:tab w:val="right" w:pos="9180"/>
        </w:tabs>
        <w:rPr>
          <w:rFonts w:ascii="Arial" w:hAnsi="Arial" w:cs="Arial"/>
        </w:rPr>
      </w:pPr>
    </w:p>
    <w:p w14:paraId="6C9367EE" w14:textId="77777777" w:rsidR="00A04C02" w:rsidRPr="003C12D8" w:rsidRDefault="00A04C02" w:rsidP="00A04C02">
      <w:pPr>
        <w:tabs>
          <w:tab w:val="left" w:pos="180"/>
          <w:tab w:val="left" w:pos="450"/>
          <w:tab w:val="right" w:pos="4860"/>
          <w:tab w:val="right" w:pos="6300"/>
          <w:tab w:val="right" w:pos="7740"/>
          <w:tab w:val="right" w:pos="9180"/>
        </w:tabs>
        <w:rPr>
          <w:rFonts w:ascii="Arial" w:hAnsi="Arial" w:cs="Arial"/>
        </w:rPr>
      </w:pPr>
      <w:r w:rsidRPr="003C12D8">
        <w:rPr>
          <w:rFonts w:ascii="Arial" w:hAnsi="Arial" w:cs="Arial"/>
        </w:rPr>
        <w:t xml:space="preserve">Non-IFRS Financial Information  </w:t>
      </w:r>
    </w:p>
    <w:p w14:paraId="6E0718F5" w14:textId="77777777" w:rsidR="00A04C02" w:rsidRPr="003C12D8" w:rsidRDefault="00A04C02" w:rsidP="00A04C02">
      <w:pPr>
        <w:tabs>
          <w:tab w:val="left" w:pos="180"/>
          <w:tab w:val="left" w:pos="450"/>
          <w:tab w:val="right" w:pos="4860"/>
          <w:tab w:val="right" w:pos="6300"/>
          <w:tab w:val="right" w:pos="7740"/>
          <w:tab w:val="right" w:pos="9180"/>
        </w:tabs>
        <w:rPr>
          <w:rFonts w:ascii="Arial" w:hAnsi="Arial" w:cs="Arial"/>
        </w:rPr>
      </w:pPr>
    </w:p>
    <w:p w14:paraId="215566D1" w14:textId="77777777" w:rsidR="00A04C02" w:rsidRPr="003C12D8" w:rsidRDefault="00A04C02" w:rsidP="00A04C02">
      <w:pPr>
        <w:tabs>
          <w:tab w:val="left" w:pos="180"/>
          <w:tab w:val="left" w:pos="450"/>
          <w:tab w:val="right" w:pos="4860"/>
          <w:tab w:val="right" w:pos="6300"/>
          <w:tab w:val="right" w:pos="7740"/>
          <w:tab w:val="right" w:pos="9180"/>
        </w:tabs>
        <w:rPr>
          <w:rFonts w:ascii="Arial" w:hAnsi="Arial" w:cs="Arial"/>
        </w:rPr>
      </w:pPr>
      <w:r w:rsidRPr="003C12D8">
        <w:rPr>
          <w:rFonts w:ascii="Arial" w:hAnsi="Arial" w:cs="Arial"/>
        </w:rPr>
        <w:t xml:space="preserve">Condensed consolidated statements of income </w:t>
      </w:r>
    </w:p>
    <w:p w14:paraId="6456247C" w14:textId="77777777" w:rsidR="00A04C02" w:rsidRPr="003C12D8" w:rsidRDefault="00A04C02" w:rsidP="00A04C02">
      <w:pPr>
        <w:tabs>
          <w:tab w:val="left" w:pos="7005"/>
        </w:tabs>
        <w:jc w:val="both"/>
        <w:rPr>
          <w:rFonts w:ascii="Arial" w:hAnsi="Arial" w:cs="Arial"/>
        </w:rPr>
      </w:pPr>
    </w:p>
    <w:p w14:paraId="57C28A9A" w14:textId="77777777" w:rsidR="00A04C02" w:rsidRPr="003C12D8" w:rsidRDefault="00A04C02" w:rsidP="00A04C02">
      <w:pPr>
        <w:tabs>
          <w:tab w:val="left" w:pos="180"/>
          <w:tab w:val="left" w:pos="450"/>
          <w:tab w:val="right" w:pos="4860"/>
          <w:tab w:val="right" w:pos="6300"/>
          <w:tab w:val="right" w:pos="7740"/>
          <w:tab w:val="right" w:pos="9180"/>
        </w:tabs>
        <w:rPr>
          <w:rFonts w:ascii="Arial" w:hAnsi="Arial" w:cs="Arial"/>
        </w:rPr>
      </w:pPr>
      <w:r w:rsidRPr="003C12D8">
        <w:rPr>
          <w:rFonts w:ascii="Arial" w:hAnsi="Arial" w:cs="Arial"/>
        </w:rPr>
        <w:t xml:space="preserve">Condensed consolidated balance sheets </w:t>
      </w:r>
    </w:p>
    <w:p w14:paraId="5D4C22D1" w14:textId="77777777" w:rsidR="00A04C02" w:rsidRPr="003C12D8" w:rsidRDefault="00A04C02" w:rsidP="00A04C02">
      <w:pPr>
        <w:tabs>
          <w:tab w:val="left" w:pos="180"/>
          <w:tab w:val="left" w:pos="450"/>
          <w:tab w:val="right" w:pos="4860"/>
          <w:tab w:val="right" w:pos="6300"/>
          <w:tab w:val="right" w:pos="7740"/>
          <w:tab w:val="right" w:pos="9180"/>
        </w:tabs>
        <w:rPr>
          <w:rFonts w:ascii="Arial" w:hAnsi="Arial" w:cs="Arial"/>
        </w:rPr>
      </w:pPr>
    </w:p>
    <w:p w14:paraId="4CE082D8" w14:textId="77777777" w:rsidR="00A04C02" w:rsidRPr="003C12D8" w:rsidRDefault="00A04C02" w:rsidP="00A04C02">
      <w:pPr>
        <w:tabs>
          <w:tab w:val="left" w:pos="180"/>
          <w:tab w:val="left" w:pos="450"/>
          <w:tab w:val="right" w:pos="4860"/>
          <w:tab w:val="right" w:pos="6300"/>
          <w:tab w:val="right" w:pos="7740"/>
          <w:tab w:val="right" w:pos="9180"/>
        </w:tabs>
        <w:rPr>
          <w:rFonts w:ascii="Arial" w:hAnsi="Arial" w:cs="Arial"/>
        </w:rPr>
      </w:pPr>
      <w:r w:rsidRPr="003C12D8">
        <w:rPr>
          <w:rFonts w:ascii="Arial" w:hAnsi="Arial" w:cs="Arial"/>
        </w:rPr>
        <w:t xml:space="preserve">Condensed consolidated cash flow statements </w:t>
      </w:r>
    </w:p>
    <w:p w14:paraId="5C0866EB" w14:textId="77777777" w:rsidR="00A04C02" w:rsidRPr="003C12D8" w:rsidRDefault="00A04C02" w:rsidP="00A04C02">
      <w:pPr>
        <w:tabs>
          <w:tab w:val="left" w:pos="180"/>
          <w:tab w:val="left" w:pos="450"/>
          <w:tab w:val="right" w:pos="4860"/>
          <w:tab w:val="right" w:pos="6300"/>
          <w:tab w:val="right" w:pos="7740"/>
          <w:tab w:val="right" w:pos="9180"/>
        </w:tabs>
        <w:rPr>
          <w:rFonts w:ascii="Arial" w:hAnsi="Arial" w:cs="Arial"/>
        </w:rPr>
      </w:pPr>
    </w:p>
    <w:p w14:paraId="49612607" w14:textId="77777777" w:rsidR="00A04C02" w:rsidRPr="003C12D8" w:rsidRDefault="00A04C02" w:rsidP="00A04C02">
      <w:pPr>
        <w:tabs>
          <w:tab w:val="left" w:pos="180"/>
          <w:tab w:val="left" w:pos="450"/>
          <w:tab w:val="right" w:pos="4860"/>
          <w:tab w:val="right" w:pos="6300"/>
          <w:tab w:val="right" w:pos="7740"/>
          <w:tab w:val="right" w:pos="9180"/>
        </w:tabs>
        <w:rPr>
          <w:rFonts w:ascii="Arial" w:hAnsi="Arial" w:cs="Arial"/>
        </w:rPr>
      </w:pPr>
      <w:r w:rsidRPr="003C12D8">
        <w:rPr>
          <w:rFonts w:ascii="Arial" w:hAnsi="Arial" w:cs="Arial"/>
        </w:rPr>
        <w:t xml:space="preserve">IFRS – non-IFRS reconciliation </w:t>
      </w:r>
    </w:p>
    <w:p w14:paraId="2EFCC086" w14:textId="77777777" w:rsidR="00A04C02" w:rsidRPr="003C12D8" w:rsidRDefault="00A04C02" w:rsidP="00A04C02">
      <w:pPr>
        <w:tabs>
          <w:tab w:val="left" w:pos="180"/>
          <w:tab w:val="left" w:pos="450"/>
          <w:tab w:val="right" w:pos="4860"/>
          <w:tab w:val="right" w:pos="6300"/>
          <w:tab w:val="right" w:pos="7740"/>
          <w:tab w:val="right" w:pos="9180"/>
        </w:tabs>
        <w:rPr>
          <w:rFonts w:ascii="Arial" w:hAnsi="Arial" w:cs="Arial"/>
        </w:rPr>
      </w:pPr>
    </w:p>
    <w:p w14:paraId="31729053" w14:textId="77777777" w:rsidR="00A04C02" w:rsidRPr="003C12D8" w:rsidRDefault="00A04C02" w:rsidP="00A04C02">
      <w:pPr>
        <w:spacing w:after="200" w:line="276" w:lineRule="auto"/>
        <w:rPr>
          <w:rFonts w:ascii="Arial" w:hAnsi="Arial" w:cs="Arial"/>
        </w:rPr>
      </w:pPr>
      <w:r w:rsidRPr="003C12D8">
        <w:rPr>
          <w:rFonts w:ascii="Arial" w:hAnsi="Arial" w:cs="Arial"/>
        </w:rPr>
        <w:br w:type="page"/>
      </w:r>
    </w:p>
    <w:p w14:paraId="13178A1C" w14:textId="77777777" w:rsidR="00A04C02" w:rsidRPr="00532AAC" w:rsidRDefault="00A04C02" w:rsidP="00A04C02">
      <w:pPr>
        <w:spacing w:after="200" w:line="276" w:lineRule="auto"/>
        <w:jc w:val="center"/>
        <w:rPr>
          <w:rFonts w:ascii="Arial" w:hAnsi="Arial" w:cs="Arial"/>
          <w:b/>
          <w:bCs/>
          <w:color w:val="000000"/>
        </w:rPr>
      </w:pPr>
      <w:r w:rsidRPr="00532AAC">
        <w:rPr>
          <w:rFonts w:ascii="Arial" w:hAnsi="Arial" w:cs="Arial"/>
          <w:b/>
          <w:bCs/>
          <w:color w:val="000000"/>
        </w:rPr>
        <w:t>DASSAULT SYSTEMES</w:t>
      </w:r>
      <w:r>
        <w:rPr>
          <w:rFonts w:ascii="Arial" w:hAnsi="Arial" w:cs="Arial"/>
          <w:b/>
          <w:bCs/>
          <w:color w:val="000000"/>
        </w:rPr>
        <w:t xml:space="preserve"> - </w:t>
      </w:r>
      <w:r w:rsidRPr="00532AAC">
        <w:rPr>
          <w:rFonts w:ascii="Arial" w:hAnsi="Arial" w:cs="Arial"/>
          <w:b/>
          <w:bCs/>
          <w:color w:val="000000"/>
        </w:rPr>
        <w:t>Glossary of Definitions</w:t>
      </w:r>
    </w:p>
    <w:p w14:paraId="091A125E" w14:textId="77777777" w:rsidR="00A04C02" w:rsidRDefault="00A04C02" w:rsidP="00E75BA1">
      <w:pPr>
        <w:jc w:val="both"/>
        <w:rPr>
          <w:rFonts w:ascii="Arial" w:hAnsi="Arial" w:cs="Arial"/>
          <w:b/>
          <w:bCs/>
          <w:color w:val="000000"/>
        </w:rPr>
      </w:pPr>
      <w:r w:rsidRPr="00532AAC">
        <w:rPr>
          <w:rFonts w:ascii="Arial" w:hAnsi="Arial" w:cs="Arial"/>
          <w:b/>
          <w:bCs/>
          <w:color w:val="000000"/>
        </w:rPr>
        <w:t>Information in Constant Currencies</w:t>
      </w:r>
    </w:p>
    <w:p w14:paraId="483F4A7C" w14:textId="77777777" w:rsidR="00E75BA1" w:rsidRPr="00532AAC" w:rsidRDefault="00E75BA1" w:rsidP="00E75BA1">
      <w:pPr>
        <w:jc w:val="both"/>
        <w:rPr>
          <w:rFonts w:ascii="Arial" w:hAnsi="Arial" w:cs="Arial"/>
          <w:b/>
          <w:bCs/>
          <w:color w:val="000000"/>
        </w:rPr>
      </w:pPr>
    </w:p>
    <w:p w14:paraId="3F194293" w14:textId="77777777" w:rsidR="00A04C02" w:rsidRDefault="00A04C02" w:rsidP="0016171A">
      <w:pPr>
        <w:tabs>
          <w:tab w:val="left" w:pos="0"/>
        </w:tabs>
        <w:autoSpaceDE w:val="0"/>
        <w:autoSpaceDN w:val="0"/>
        <w:adjustRightInd w:val="0"/>
        <w:jc w:val="both"/>
        <w:rPr>
          <w:rFonts w:ascii="Arial" w:eastAsia="SimSun" w:hAnsi="Arial" w:cs="Arial"/>
          <w:lang w:eastAsia="zh-CN"/>
        </w:rPr>
      </w:pPr>
      <w:r w:rsidRPr="00FA2F66">
        <w:rPr>
          <w:rFonts w:ascii="Arial" w:eastAsia="SimSun" w:hAnsi="Arial" w:cs="Arial"/>
          <w:lang w:eastAsia="zh-CN"/>
        </w:rPr>
        <w:t xml:space="preserve">We have followed a long-standing policy of measuring our revenue performance and setting our revenue objectives exclusive of currency in order to measure in a transparent manner the underlying level of improvement in our </w:t>
      </w:r>
      <w:r>
        <w:rPr>
          <w:rFonts w:ascii="Arial" w:eastAsia="SimSun" w:hAnsi="Arial" w:cs="Arial"/>
          <w:lang w:eastAsia="zh-CN"/>
        </w:rPr>
        <w:t xml:space="preserve">total </w:t>
      </w:r>
      <w:r w:rsidRPr="00FA2F66">
        <w:rPr>
          <w:rFonts w:ascii="Arial" w:eastAsia="SimSun" w:hAnsi="Arial" w:cs="Arial"/>
          <w:lang w:eastAsia="zh-CN"/>
        </w:rPr>
        <w:t xml:space="preserve">revenue and software revenue by type, industry, region and product lines. We believe it is helpful to evaluate our growth exclusive of currency impacts, particularly to help understand revenue trends in our business. </w:t>
      </w:r>
      <w:r>
        <w:rPr>
          <w:rFonts w:ascii="Arial" w:eastAsia="SimSun" w:hAnsi="Arial" w:cs="Arial"/>
          <w:lang w:eastAsia="zh-CN"/>
        </w:rPr>
        <w:t xml:space="preserve">Therefore, we </w:t>
      </w:r>
      <w:r w:rsidRPr="00E569C9">
        <w:rPr>
          <w:rFonts w:ascii="Arial" w:eastAsia="SimSun" w:hAnsi="Arial" w:cs="Arial"/>
          <w:lang w:eastAsia="zh-CN"/>
        </w:rPr>
        <w:t xml:space="preserve">provide percentage increases or decreases in </w:t>
      </w:r>
      <w:r>
        <w:rPr>
          <w:rFonts w:ascii="Arial" w:eastAsia="SimSun" w:hAnsi="Arial" w:cs="Arial"/>
          <w:lang w:eastAsia="zh-CN"/>
        </w:rPr>
        <w:t>our</w:t>
      </w:r>
      <w:r w:rsidRPr="00E569C9">
        <w:rPr>
          <w:rFonts w:ascii="Arial" w:eastAsia="SimSun" w:hAnsi="Arial" w:cs="Arial"/>
          <w:lang w:eastAsia="zh-CN"/>
        </w:rPr>
        <w:t xml:space="preserve"> revenue </w:t>
      </w:r>
      <w:r>
        <w:rPr>
          <w:rFonts w:ascii="Arial" w:eastAsia="SimSun" w:hAnsi="Arial" w:cs="Arial"/>
          <w:lang w:eastAsia="zh-CN"/>
        </w:rPr>
        <w:t xml:space="preserve">and EPS </w:t>
      </w:r>
      <w:r w:rsidRPr="00E569C9">
        <w:rPr>
          <w:rFonts w:ascii="Arial" w:eastAsia="SimSun" w:hAnsi="Arial" w:cs="Arial"/>
          <w:lang w:eastAsia="zh-CN"/>
        </w:rPr>
        <w:t xml:space="preserve">(in both IFRS as well as non-IFRS) to eliminate the effect of changes in currency values, particularly the U.S. dollar and the Japanese yen, relative to the euro. When trend information is expressed </w:t>
      </w:r>
      <w:r>
        <w:rPr>
          <w:rFonts w:ascii="Arial" w:eastAsia="SimSun" w:hAnsi="Arial" w:cs="Arial"/>
          <w:lang w:eastAsia="zh-CN"/>
        </w:rPr>
        <w:t>by us</w:t>
      </w:r>
      <w:r w:rsidRPr="00E569C9">
        <w:rPr>
          <w:rFonts w:ascii="Arial" w:eastAsia="SimSun" w:hAnsi="Arial" w:cs="Arial"/>
          <w:lang w:eastAsia="zh-CN"/>
        </w:rPr>
        <w:t xml:space="preserve"> "in constant currencies", the results of the "prior" period have first been recalculated using the average exchange rates of the comparable period in the current year, and then compared with the results of the comparable period in the current year. </w:t>
      </w:r>
    </w:p>
    <w:p w14:paraId="471BDED6" w14:textId="77777777" w:rsidR="00A04C02" w:rsidRDefault="00A04C02">
      <w:pPr>
        <w:tabs>
          <w:tab w:val="left" w:pos="0"/>
        </w:tabs>
        <w:autoSpaceDE w:val="0"/>
        <w:autoSpaceDN w:val="0"/>
        <w:adjustRightInd w:val="0"/>
        <w:jc w:val="both"/>
        <w:rPr>
          <w:rFonts w:ascii="Arial" w:eastAsia="SimSun" w:hAnsi="Arial" w:cs="Arial"/>
          <w:lang w:eastAsia="zh-CN"/>
        </w:rPr>
      </w:pPr>
    </w:p>
    <w:p w14:paraId="1340A4FE" w14:textId="77777777" w:rsidR="00A04C02" w:rsidRDefault="00A04C02">
      <w:pPr>
        <w:tabs>
          <w:tab w:val="left" w:pos="0"/>
        </w:tabs>
        <w:autoSpaceDE w:val="0"/>
        <w:autoSpaceDN w:val="0"/>
        <w:adjustRightInd w:val="0"/>
        <w:jc w:val="both"/>
        <w:rPr>
          <w:rFonts w:ascii="Arial" w:eastAsia="SimSun" w:hAnsi="Arial" w:cs="Arial"/>
          <w:lang w:eastAsia="zh-CN"/>
        </w:rPr>
      </w:pPr>
      <w:r w:rsidRPr="007B7791">
        <w:rPr>
          <w:rFonts w:ascii="Arial" w:eastAsia="SimSun" w:hAnsi="Arial" w:cs="Arial"/>
          <w:lang w:eastAsia="zh-CN"/>
        </w:rPr>
        <w:t xml:space="preserve">While constant currency calculations are not considered </w:t>
      </w:r>
      <w:proofErr w:type="gramStart"/>
      <w:r w:rsidRPr="007B7791">
        <w:rPr>
          <w:rFonts w:ascii="Arial" w:eastAsia="SimSun" w:hAnsi="Arial" w:cs="Arial"/>
          <w:lang w:eastAsia="zh-CN"/>
        </w:rPr>
        <w:t>to be an</w:t>
      </w:r>
      <w:proofErr w:type="gramEnd"/>
      <w:r w:rsidRPr="007B7791">
        <w:rPr>
          <w:rFonts w:ascii="Arial" w:eastAsia="SimSun" w:hAnsi="Arial" w:cs="Arial"/>
          <w:lang w:eastAsia="zh-CN"/>
        </w:rPr>
        <w:t xml:space="preserve"> IFRS measure, we do believe these measures are critical to understanding our global revenue results and to compare with many of our competitors who report their financial results in U.S. dollars. Therefore, we are including this calculation for comparing IFRS revenue figures for comparable periods as well as for comparing non-IFRS revenue figures for comparable periods. All constant currency information </w:t>
      </w:r>
      <w:proofErr w:type="gramStart"/>
      <w:r w:rsidRPr="007B7791">
        <w:rPr>
          <w:rFonts w:ascii="Arial" w:eastAsia="SimSun" w:hAnsi="Arial" w:cs="Arial"/>
          <w:lang w:eastAsia="zh-CN"/>
        </w:rPr>
        <w:t>is provided</w:t>
      </w:r>
      <w:proofErr w:type="gramEnd"/>
      <w:r w:rsidRPr="007B7791">
        <w:rPr>
          <w:rFonts w:ascii="Arial" w:eastAsia="SimSun" w:hAnsi="Arial" w:cs="Arial"/>
          <w:lang w:eastAsia="zh-CN"/>
        </w:rPr>
        <w:t xml:space="preserve"> on an approximate basis. Unless otherwise indicated, the impact of exchange rate fluctuations is approximately the same for both the </w:t>
      </w:r>
      <w:r w:rsidR="00A36854">
        <w:rPr>
          <w:rFonts w:ascii="Arial" w:eastAsia="SimSun" w:hAnsi="Arial" w:cs="Arial"/>
          <w:lang w:eastAsia="zh-CN"/>
        </w:rPr>
        <w:t>Group</w:t>
      </w:r>
      <w:r w:rsidRPr="007B7791">
        <w:rPr>
          <w:rFonts w:ascii="Arial" w:eastAsia="SimSun" w:hAnsi="Arial" w:cs="Arial"/>
          <w:lang w:eastAsia="zh-CN"/>
        </w:rPr>
        <w:t>’s IFRS and supplemental non-IFRS financial data.</w:t>
      </w:r>
    </w:p>
    <w:p w14:paraId="3206514E" w14:textId="77777777" w:rsidR="00A04C02" w:rsidRPr="00E569C9" w:rsidRDefault="00A04C02">
      <w:pPr>
        <w:tabs>
          <w:tab w:val="left" w:pos="0"/>
        </w:tabs>
        <w:autoSpaceDE w:val="0"/>
        <w:autoSpaceDN w:val="0"/>
        <w:adjustRightInd w:val="0"/>
        <w:jc w:val="both"/>
        <w:rPr>
          <w:rFonts w:ascii="Arial" w:eastAsia="SimSun" w:hAnsi="Arial" w:cs="Arial"/>
          <w:lang w:eastAsia="zh-CN"/>
        </w:rPr>
      </w:pPr>
    </w:p>
    <w:p w14:paraId="3769FD8B" w14:textId="77777777" w:rsidR="00A04C02" w:rsidRDefault="00A04C02" w:rsidP="0016171A">
      <w:pPr>
        <w:jc w:val="both"/>
        <w:rPr>
          <w:rFonts w:ascii="Arial" w:hAnsi="Arial" w:cs="Arial"/>
          <w:b/>
          <w:bCs/>
          <w:color w:val="000000"/>
        </w:rPr>
      </w:pPr>
      <w:r w:rsidRPr="00E816C6">
        <w:rPr>
          <w:rFonts w:ascii="Arial" w:hAnsi="Arial" w:cs="Arial"/>
          <w:b/>
          <w:bCs/>
          <w:color w:val="000000"/>
        </w:rPr>
        <w:t>Information on Growth</w:t>
      </w:r>
      <w:r>
        <w:rPr>
          <w:rFonts w:ascii="Arial" w:hAnsi="Arial" w:cs="Arial"/>
          <w:b/>
          <w:bCs/>
          <w:color w:val="000000"/>
        </w:rPr>
        <w:t xml:space="preserve"> excluding acquisitions</w:t>
      </w:r>
      <w:r w:rsidRPr="00E816C6">
        <w:rPr>
          <w:rFonts w:ascii="Arial" w:hAnsi="Arial" w:cs="Arial"/>
          <w:b/>
          <w:bCs/>
          <w:color w:val="000000"/>
        </w:rPr>
        <w:t xml:space="preserve"> </w:t>
      </w:r>
      <w:r>
        <w:rPr>
          <w:rFonts w:ascii="Arial" w:hAnsi="Arial" w:cs="Arial"/>
          <w:b/>
          <w:bCs/>
          <w:color w:val="000000"/>
        </w:rPr>
        <w:t>(“organic growth”)</w:t>
      </w:r>
    </w:p>
    <w:p w14:paraId="7830A006" w14:textId="77777777" w:rsidR="00E75BA1" w:rsidRPr="00E816C6" w:rsidRDefault="00E75BA1" w:rsidP="0016171A">
      <w:pPr>
        <w:jc w:val="both"/>
        <w:rPr>
          <w:rFonts w:ascii="Arial" w:hAnsi="Arial" w:cs="Arial"/>
          <w:b/>
          <w:bCs/>
          <w:color w:val="000000"/>
        </w:rPr>
      </w:pPr>
    </w:p>
    <w:p w14:paraId="7C7800E9" w14:textId="77777777" w:rsidR="00A04C02" w:rsidRDefault="00A04C02" w:rsidP="0016171A">
      <w:pPr>
        <w:tabs>
          <w:tab w:val="left" w:pos="0"/>
        </w:tabs>
        <w:autoSpaceDE w:val="0"/>
        <w:autoSpaceDN w:val="0"/>
        <w:adjustRightInd w:val="0"/>
        <w:jc w:val="both"/>
        <w:rPr>
          <w:rFonts w:ascii="Arial" w:eastAsia="SimSun" w:hAnsi="Arial" w:cs="Arial"/>
          <w:lang w:eastAsia="zh-CN"/>
        </w:rPr>
      </w:pPr>
      <w:r>
        <w:rPr>
          <w:rFonts w:ascii="Arial" w:eastAsia="SimSun" w:hAnsi="Arial" w:cs="Arial"/>
          <w:lang w:eastAsia="zh-CN"/>
        </w:rPr>
        <w:t xml:space="preserve">In addition to discussing total growth, we also provide financial information where we discuss growth excluding acquisitions or growth on an organic basis as used alternatively. </w:t>
      </w:r>
      <w:proofErr w:type="gramStart"/>
      <w:r>
        <w:rPr>
          <w:rFonts w:ascii="Arial" w:eastAsia="SimSun" w:hAnsi="Arial" w:cs="Arial"/>
          <w:lang w:eastAsia="zh-CN"/>
        </w:rPr>
        <w:t>In both cases, g</w:t>
      </w:r>
      <w:r w:rsidRPr="00E569C9">
        <w:rPr>
          <w:rFonts w:ascii="Arial" w:eastAsia="SimSun" w:hAnsi="Arial" w:cs="Arial"/>
          <w:lang w:eastAsia="zh-CN"/>
        </w:rPr>
        <w:t>rowth excluding acquisitions have been calculated using the following restatements of the scope of consolidation: for entities entering the consolidation scope in the current year, subtracting the contribution of the acquisition from the aggregates of the current year, and for entities entering the consolidation scope in the previous year, subtracting the contribution of the acquisition from January 1</w:t>
      </w:r>
      <w:r>
        <w:rPr>
          <w:rFonts w:ascii="Arial" w:eastAsia="SimSun" w:hAnsi="Arial" w:cs="Arial"/>
          <w:lang w:eastAsia="zh-CN"/>
        </w:rPr>
        <w:t>st</w:t>
      </w:r>
      <w:r w:rsidRPr="00E569C9">
        <w:rPr>
          <w:rFonts w:ascii="Arial" w:eastAsia="SimSun" w:hAnsi="Arial" w:cs="Arial"/>
          <w:lang w:eastAsia="zh-CN"/>
        </w:rPr>
        <w:t xml:space="preserve"> of the current year, until the last day of the month of the current year when the acquisition was made the previous year.</w:t>
      </w:r>
      <w:proofErr w:type="gramEnd"/>
      <w:r w:rsidRPr="00E569C9" w:rsidDel="00A14A60">
        <w:rPr>
          <w:rFonts w:ascii="Arial" w:eastAsia="SimSun" w:hAnsi="Arial" w:cs="Arial"/>
          <w:lang w:eastAsia="zh-CN"/>
        </w:rPr>
        <w:t xml:space="preserve"> </w:t>
      </w:r>
    </w:p>
    <w:p w14:paraId="22C7D8DE" w14:textId="77777777" w:rsidR="00A04C02" w:rsidRPr="00E569C9" w:rsidRDefault="00A04C02" w:rsidP="0016171A">
      <w:pPr>
        <w:tabs>
          <w:tab w:val="left" w:pos="0"/>
        </w:tabs>
        <w:autoSpaceDE w:val="0"/>
        <w:autoSpaceDN w:val="0"/>
        <w:adjustRightInd w:val="0"/>
        <w:jc w:val="both"/>
        <w:rPr>
          <w:rFonts w:ascii="Arial" w:eastAsia="SimSun" w:hAnsi="Arial" w:cs="Arial"/>
          <w:lang w:eastAsia="zh-CN"/>
        </w:rPr>
      </w:pPr>
      <w:r w:rsidRPr="00F25991">
        <w:rPr>
          <w:rFonts w:ascii="Arial" w:eastAsia="SimSun" w:hAnsi="Arial" w:cs="Arial"/>
          <w:lang w:eastAsia="zh-CN"/>
        </w:rPr>
        <w:t xml:space="preserve"> </w:t>
      </w:r>
    </w:p>
    <w:p w14:paraId="67D7779D" w14:textId="77777777" w:rsidR="00A04C02" w:rsidRDefault="00A04C02" w:rsidP="0016171A">
      <w:pPr>
        <w:jc w:val="both"/>
        <w:rPr>
          <w:rFonts w:ascii="Arial" w:hAnsi="Arial" w:cs="Arial"/>
          <w:b/>
          <w:bCs/>
          <w:color w:val="000000"/>
        </w:rPr>
      </w:pPr>
      <w:r w:rsidRPr="00E816C6">
        <w:rPr>
          <w:rFonts w:ascii="Arial" w:hAnsi="Arial" w:cs="Arial"/>
          <w:b/>
          <w:bCs/>
          <w:color w:val="000000"/>
        </w:rPr>
        <w:t>Informa</w:t>
      </w:r>
      <w:r>
        <w:rPr>
          <w:rFonts w:ascii="Arial" w:hAnsi="Arial" w:cs="Arial"/>
          <w:b/>
          <w:bCs/>
          <w:color w:val="000000"/>
        </w:rPr>
        <w:t>tion on Industrial Sectors</w:t>
      </w:r>
    </w:p>
    <w:p w14:paraId="5014C05D" w14:textId="77777777" w:rsidR="00E75BA1" w:rsidRPr="00E816C6" w:rsidRDefault="00E75BA1" w:rsidP="0016171A">
      <w:pPr>
        <w:jc w:val="both"/>
        <w:rPr>
          <w:rFonts w:ascii="Arial" w:hAnsi="Arial" w:cs="Arial"/>
          <w:b/>
          <w:bCs/>
          <w:color w:val="000000"/>
        </w:rPr>
      </w:pPr>
    </w:p>
    <w:p w14:paraId="47249311" w14:textId="48663F03" w:rsidR="00645952" w:rsidRDefault="00645952" w:rsidP="00645952">
      <w:pPr>
        <w:tabs>
          <w:tab w:val="left" w:pos="0"/>
        </w:tabs>
        <w:autoSpaceDE w:val="0"/>
        <w:autoSpaceDN w:val="0"/>
        <w:adjustRightInd w:val="0"/>
        <w:jc w:val="both"/>
        <w:rPr>
          <w:rFonts w:ascii="Arial" w:eastAsia="SimSun" w:hAnsi="Arial" w:cs="Arial"/>
          <w:lang w:eastAsia="zh-CN"/>
        </w:rPr>
      </w:pPr>
      <w:r w:rsidRPr="00645952">
        <w:rPr>
          <w:rFonts w:ascii="Arial" w:eastAsia="SimSun" w:hAnsi="Arial" w:cs="Arial"/>
          <w:lang w:eastAsia="zh-CN"/>
        </w:rPr>
        <w:t xml:space="preserve">Dassault Systèmes’ Industries develop Solution Experiences, industry-focused offerings </w:t>
      </w:r>
      <w:r w:rsidR="00C63C1F" w:rsidRPr="00645952">
        <w:rPr>
          <w:rFonts w:ascii="Arial" w:eastAsia="SimSun" w:hAnsi="Arial" w:cs="Arial"/>
          <w:lang w:eastAsia="zh-CN"/>
        </w:rPr>
        <w:t>that</w:t>
      </w:r>
      <w:r w:rsidRPr="00645952">
        <w:rPr>
          <w:rFonts w:ascii="Arial" w:eastAsia="SimSun" w:hAnsi="Arial" w:cs="Arial"/>
          <w:lang w:eastAsia="zh-CN"/>
        </w:rPr>
        <w:t xml:space="preserve"> deliver specific value</w:t>
      </w:r>
      <w:r>
        <w:rPr>
          <w:rFonts w:ascii="Arial" w:eastAsia="SimSun" w:hAnsi="Arial" w:cs="Arial"/>
          <w:lang w:eastAsia="zh-CN"/>
        </w:rPr>
        <w:t xml:space="preserve"> </w:t>
      </w:r>
      <w:r w:rsidRPr="00645952">
        <w:rPr>
          <w:rFonts w:ascii="Arial" w:eastAsia="SimSun" w:hAnsi="Arial" w:cs="Arial"/>
          <w:lang w:eastAsia="zh-CN"/>
        </w:rPr>
        <w:t>to companies and users in</w:t>
      </w:r>
      <w:r>
        <w:rPr>
          <w:rFonts w:ascii="Arial" w:eastAsia="SimSun" w:hAnsi="Arial" w:cs="Arial"/>
          <w:lang w:eastAsia="zh-CN"/>
        </w:rPr>
        <w:t xml:space="preserve"> a particular industry. We serve</w:t>
      </w:r>
      <w:r w:rsidRPr="00645952">
        <w:rPr>
          <w:rFonts w:ascii="Arial" w:eastAsia="SimSun" w:hAnsi="Arial" w:cs="Arial"/>
          <w:lang w:eastAsia="zh-CN"/>
        </w:rPr>
        <w:t xml:space="preserve"> eleven industries structured into three</w:t>
      </w:r>
      <w:r>
        <w:rPr>
          <w:rFonts w:ascii="Arial" w:eastAsia="SimSun" w:hAnsi="Arial" w:cs="Arial"/>
          <w:lang w:eastAsia="zh-CN"/>
        </w:rPr>
        <w:t xml:space="preserve"> </w:t>
      </w:r>
      <w:r w:rsidRPr="00645952">
        <w:rPr>
          <w:rFonts w:ascii="Arial" w:eastAsia="SimSun" w:hAnsi="Arial" w:cs="Arial"/>
          <w:lang w:eastAsia="zh-CN"/>
        </w:rPr>
        <w:t xml:space="preserve">sectors: </w:t>
      </w:r>
      <w:r w:rsidRPr="00645952">
        <w:rPr>
          <w:rFonts w:ascii="Arial" w:eastAsia="SimSun" w:hAnsi="Arial" w:cs="Arial"/>
          <w:i/>
          <w:u w:val="single"/>
          <w:lang w:eastAsia="zh-CN"/>
        </w:rPr>
        <w:t>Manufacturing Industries</w:t>
      </w:r>
      <w:r w:rsidRPr="00645952">
        <w:rPr>
          <w:rFonts w:ascii="Arial" w:eastAsia="SimSun" w:hAnsi="Arial" w:cs="Arial"/>
          <w:lang w:eastAsia="zh-CN"/>
        </w:rPr>
        <w:t xml:space="preserve"> (Transportation &amp; Mobility; Aerospace &amp; Defense; Marine &amp; Offshore; Industrial Equipment; High-Tech; Home &amp; Lifestyle; Consumer Packaged </w:t>
      </w:r>
      <w:r>
        <w:rPr>
          <w:rFonts w:ascii="Arial" w:eastAsia="SimSun" w:hAnsi="Arial" w:cs="Arial"/>
          <w:lang w:eastAsia="zh-CN"/>
        </w:rPr>
        <w:t xml:space="preserve">Goods &amp; Retail and a portion of Business Services); </w:t>
      </w:r>
      <w:r w:rsidRPr="00645952">
        <w:rPr>
          <w:rFonts w:ascii="Arial" w:eastAsia="SimSun" w:hAnsi="Arial" w:cs="Arial"/>
          <w:i/>
          <w:u w:val="single"/>
          <w:lang w:eastAsia="zh-CN"/>
        </w:rPr>
        <w:t>Life Sciences &amp; Healthcare</w:t>
      </w:r>
      <w:r w:rsidRPr="00645952">
        <w:rPr>
          <w:rFonts w:ascii="Arial" w:eastAsia="SimSun" w:hAnsi="Arial" w:cs="Arial"/>
          <w:lang w:eastAsia="zh-CN"/>
        </w:rPr>
        <w:t xml:space="preserve"> (Life Sciences)</w:t>
      </w:r>
      <w:r>
        <w:rPr>
          <w:rFonts w:ascii="Arial" w:eastAsia="SimSun" w:hAnsi="Arial" w:cs="Arial"/>
          <w:lang w:eastAsia="zh-CN"/>
        </w:rPr>
        <w:t xml:space="preserve">; and </w:t>
      </w:r>
      <w:r w:rsidRPr="00645952">
        <w:rPr>
          <w:rFonts w:ascii="Arial" w:eastAsia="SimSun" w:hAnsi="Arial" w:cs="Arial"/>
          <w:i/>
          <w:u w:val="single"/>
          <w:lang w:eastAsia="zh-CN"/>
        </w:rPr>
        <w:t>Infrastructure &amp; Cities</w:t>
      </w:r>
      <w:r w:rsidRPr="00645952">
        <w:rPr>
          <w:rFonts w:ascii="Arial" w:eastAsia="SimSun" w:hAnsi="Arial" w:cs="Arial"/>
          <w:lang w:eastAsia="zh-CN"/>
        </w:rPr>
        <w:t xml:space="preserve"> (Energy &amp; Materials; Construction, Cities</w:t>
      </w:r>
      <w:r>
        <w:rPr>
          <w:rFonts w:ascii="Arial" w:eastAsia="SimSun" w:hAnsi="Arial" w:cs="Arial"/>
          <w:lang w:eastAsia="zh-CN"/>
        </w:rPr>
        <w:t xml:space="preserve"> </w:t>
      </w:r>
      <w:r w:rsidRPr="00645952">
        <w:rPr>
          <w:rFonts w:ascii="Arial" w:eastAsia="SimSun" w:hAnsi="Arial" w:cs="Arial"/>
          <w:lang w:eastAsia="zh-CN"/>
        </w:rPr>
        <w:t>and Territories; Business Services).</w:t>
      </w:r>
    </w:p>
    <w:p w14:paraId="612AC080" w14:textId="77777777" w:rsidR="00645952" w:rsidRDefault="00645952" w:rsidP="0016171A">
      <w:pPr>
        <w:tabs>
          <w:tab w:val="left" w:pos="0"/>
        </w:tabs>
        <w:autoSpaceDE w:val="0"/>
        <w:autoSpaceDN w:val="0"/>
        <w:adjustRightInd w:val="0"/>
        <w:jc w:val="both"/>
        <w:rPr>
          <w:rFonts w:ascii="Arial" w:eastAsia="SimSun" w:hAnsi="Arial" w:cs="Arial"/>
          <w:lang w:eastAsia="zh-CN"/>
        </w:rPr>
      </w:pPr>
    </w:p>
    <w:p w14:paraId="4027D9B9" w14:textId="77777777" w:rsidR="002C22DA" w:rsidRDefault="002C22DA" w:rsidP="002C22DA">
      <w:pPr>
        <w:spacing w:line="276" w:lineRule="auto"/>
        <w:jc w:val="both"/>
        <w:rPr>
          <w:rFonts w:ascii="Arial" w:hAnsi="Arial" w:cs="Arial"/>
          <w:b/>
          <w:bCs/>
          <w:color w:val="000000"/>
        </w:rPr>
      </w:pPr>
      <w:r>
        <w:rPr>
          <w:rFonts w:ascii="Arial" w:hAnsi="Arial" w:cs="Arial"/>
          <w:b/>
          <w:bCs/>
          <w:color w:val="000000"/>
        </w:rPr>
        <w:t>Information on Product Lines</w:t>
      </w:r>
    </w:p>
    <w:p w14:paraId="53D86546" w14:textId="77777777" w:rsidR="002C22DA" w:rsidRDefault="002C22DA" w:rsidP="002C22DA">
      <w:pPr>
        <w:spacing w:line="276" w:lineRule="auto"/>
        <w:jc w:val="both"/>
        <w:rPr>
          <w:rFonts w:ascii="Arial" w:hAnsi="Arial" w:cs="Arial"/>
          <w:b/>
          <w:bCs/>
          <w:color w:val="000000"/>
        </w:rPr>
      </w:pPr>
    </w:p>
    <w:p w14:paraId="2FB20AD1" w14:textId="76FAB890" w:rsidR="00A04C02" w:rsidRDefault="002C22DA" w:rsidP="00250E8C">
      <w:pPr>
        <w:jc w:val="both"/>
        <w:rPr>
          <w:rFonts w:ascii="Arial" w:hAnsi="Arial" w:cs="Arial"/>
          <w:b/>
          <w:bCs/>
          <w:color w:val="000000"/>
        </w:rPr>
      </w:pPr>
      <w:r>
        <w:rPr>
          <w:rFonts w:ascii="Arial" w:hAnsi="Arial" w:cs="Arial"/>
          <w:bCs/>
          <w:color w:val="000000"/>
        </w:rPr>
        <w:t xml:space="preserve">Commencing with the first quarter of 2020 and as previously disclosed, we </w:t>
      </w:r>
      <w:r w:rsidR="00C63C1F">
        <w:rPr>
          <w:rFonts w:ascii="Arial" w:hAnsi="Arial" w:cs="Arial"/>
          <w:bCs/>
          <w:color w:val="000000"/>
        </w:rPr>
        <w:t>have introduced</w:t>
      </w:r>
      <w:r>
        <w:rPr>
          <w:rFonts w:ascii="Arial" w:hAnsi="Arial" w:cs="Arial"/>
          <w:bCs/>
          <w:color w:val="000000"/>
        </w:rPr>
        <w:t xml:space="preserve"> a new presentation of our product lines to reflect our broader ambitions. Our new product line financial reporting includes: 1) </w:t>
      </w:r>
      <w:r w:rsidRPr="00B019D2">
        <w:rPr>
          <w:rFonts w:ascii="Arial" w:hAnsi="Arial" w:cs="Arial"/>
          <w:bCs/>
          <w:i/>
          <w:color w:val="000000"/>
          <w:u w:val="single"/>
        </w:rPr>
        <w:t>Industrial Innovation</w:t>
      </w:r>
      <w:r>
        <w:rPr>
          <w:rFonts w:ascii="Arial" w:hAnsi="Arial" w:cs="Arial"/>
          <w:bCs/>
          <w:color w:val="000000"/>
        </w:rPr>
        <w:t xml:space="preserve"> software revenue, comprised of</w:t>
      </w:r>
      <w:r w:rsidR="00D33CAC">
        <w:rPr>
          <w:rFonts w:ascii="Arial" w:hAnsi="Arial" w:cs="Arial"/>
          <w:bCs/>
          <w:color w:val="000000"/>
        </w:rPr>
        <w:t xml:space="preserve"> our</w:t>
      </w:r>
      <w:r>
        <w:rPr>
          <w:rFonts w:ascii="Arial" w:hAnsi="Arial" w:cs="Arial"/>
          <w:bCs/>
          <w:color w:val="000000"/>
        </w:rPr>
        <w:t xml:space="preserve"> CATIA, ENOVIA, </w:t>
      </w:r>
      <w:r w:rsidR="00D33CAC">
        <w:rPr>
          <w:rFonts w:ascii="Arial" w:hAnsi="Arial" w:cs="Arial"/>
          <w:bCs/>
          <w:color w:val="000000"/>
        </w:rPr>
        <w:t xml:space="preserve">SIMULIA, </w:t>
      </w:r>
      <w:r>
        <w:rPr>
          <w:rFonts w:ascii="Arial" w:hAnsi="Arial" w:cs="Arial"/>
          <w:bCs/>
          <w:color w:val="000000"/>
        </w:rPr>
        <w:t>DELMIA</w:t>
      </w:r>
      <w:r w:rsidR="00D33CAC">
        <w:rPr>
          <w:rFonts w:ascii="Arial" w:hAnsi="Arial" w:cs="Arial"/>
          <w:bCs/>
          <w:color w:val="000000"/>
        </w:rPr>
        <w:t>, GEOVIA, NETVIBES/EXALEAD, and 3DEXCITE brands</w:t>
      </w:r>
      <w:r>
        <w:rPr>
          <w:rFonts w:ascii="Arial" w:hAnsi="Arial" w:cs="Arial"/>
          <w:bCs/>
          <w:color w:val="000000"/>
        </w:rPr>
        <w:t>;</w:t>
      </w:r>
      <w:r w:rsidR="00616418">
        <w:rPr>
          <w:rFonts w:ascii="Arial" w:hAnsi="Arial" w:cs="Arial"/>
          <w:bCs/>
          <w:color w:val="000000"/>
        </w:rPr>
        <w:t xml:space="preserve"> </w:t>
      </w:r>
      <w:r>
        <w:rPr>
          <w:rFonts w:ascii="Arial" w:hAnsi="Arial" w:cs="Arial"/>
          <w:bCs/>
          <w:color w:val="000000"/>
        </w:rPr>
        <w:t xml:space="preserve">2) </w:t>
      </w:r>
      <w:r w:rsidRPr="00B019D2">
        <w:rPr>
          <w:rFonts w:ascii="Arial" w:hAnsi="Arial" w:cs="Arial"/>
          <w:bCs/>
          <w:i/>
          <w:color w:val="000000"/>
          <w:u w:val="single"/>
        </w:rPr>
        <w:t>Life Sciences</w:t>
      </w:r>
      <w:r>
        <w:rPr>
          <w:rFonts w:ascii="Arial" w:hAnsi="Arial" w:cs="Arial"/>
          <w:bCs/>
          <w:color w:val="000000"/>
        </w:rPr>
        <w:t xml:space="preserve"> software revenue, comprised of</w:t>
      </w:r>
      <w:r w:rsidR="00D33CAC">
        <w:rPr>
          <w:rFonts w:ascii="Arial" w:hAnsi="Arial" w:cs="Arial"/>
          <w:bCs/>
          <w:color w:val="000000"/>
        </w:rPr>
        <w:t xml:space="preserve"> our</w:t>
      </w:r>
      <w:r w:rsidR="009A2798">
        <w:rPr>
          <w:rFonts w:ascii="Arial" w:hAnsi="Arial" w:cs="Arial"/>
          <w:bCs/>
          <w:color w:val="000000"/>
        </w:rPr>
        <w:t xml:space="preserve"> MEDIDATA</w:t>
      </w:r>
      <w:r>
        <w:rPr>
          <w:rFonts w:ascii="Arial" w:hAnsi="Arial" w:cs="Arial"/>
          <w:bCs/>
          <w:color w:val="000000"/>
        </w:rPr>
        <w:t xml:space="preserve"> and BIOVIA brands; and 3) </w:t>
      </w:r>
      <w:r w:rsidRPr="00B019D2">
        <w:rPr>
          <w:rFonts w:ascii="Arial" w:hAnsi="Arial" w:cs="Arial"/>
          <w:bCs/>
          <w:i/>
          <w:color w:val="000000"/>
          <w:u w:val="single"/>
        </w:rPr>
        <w:t>Mainstream Innovation</w:t>
      </w:r>
      <w:r>
        <w:rPr>
          <w:rFonts w:ascii="Arial" w:hAnsi="Arial" w:cs="Arial"/>
          <w:bCs/>
          <w:color w:val="000000"/>
        </w:rPr>
        <w:t xml:space="preserve"> software reven</w:t>
      </w:r>
      <w:r w:rsidR="00D33CAC">
        <w:rPr>
          <w:rFonts w:ascii="Arial" w:hAnsi="Arial" w:cs="Arial"/>
          <w:bCs/>
          <w:color w:val="000000"/>
        </w:rPr>
        <w:t>ue, comprised of our SOLIDWORKS brand as well as C</w:t>
      </w:r>
      <w:r w:rsidR="009A2798">
        <w:rPr>
          <w:rFonts w:ascii="Arial" w:hAnsi="Arial" w:cs="Arial"/>
          <w:bCs/>
          <w:color w:val="000000"/>
        </w:rPr>
        <w:t>ENTRIC</w:t>
      </w:r>
      <w:r w:rsidR="00616418">
        <w:rPr>
          <w:rFonts w:ascii="Arial" w:hAnsi="Arial" w:cs="Arial"/>
          <w:bCs/>
          <w:color w:val="000000"/>
        </w:rPr>
        <w:t xml:space="preserve"> PLM</w:t>
      </w:r>
      <w:r w:rsidR="00D33CAC">
        <w:rPr>
          <w:rFonts w:ascii="Arial" w:hAnsi="Arial" w:cs="Arial"/>
          <w:bCs/>
          <w:color w:val="000000"/>
        </w:rPr>
        <w:t>, 3DVIA and our new</w:t>
      </w:r>
      <w:r w:rsidR="00D33CAC" w:rsidRPr="00D33CAC">
        <w:rPr>
          <w:rFonts w:ascii="Arial" w:hAnsi="Arial" w:cs="Arial"/>
          <w:bCs/>
          <w:color w:val="000000"/>
        </w:rPr>
        <w:t xml:space="preserve"> </w:t>
      </w:r>
      <w:r w:rsidR="00D33CAC" w:rsidRPr="00D23395">
        <w:rPr>
          <w:rFonts w:ascii="Arial" w:hAnsi="Arial" w:cs="Arial"/>
          <w:b/>
          <w:bCs/>
          <w:color w:val="000000"/>
        </w:rPr>
        <w:t>3D</w:t>
      </w:r>
      <w:r w:rsidR="00D33CAC" w:rsidRPr="00D33CAC">
        <w:rPr>
          <w:rFonts w:ascii="Arial" w:hAnsi="Arial" w:cs="Arial"/>
          <w:bCs/>
          <w:color w:val="000000"/>
        </w:rPr>
        <w:t>EXPERIENCE.WORKS family</w:t>
      </w:r>
      <w:r w:rsidR="00D33CAC">
        <w:rPr>
          <w:rFonts w:ascii="Arial" w:hAnsi="Arial" w:cs="Arial"/>
          <w:bCs/>
          <w:color w:val="000000"/>
        </w:rPr>
        <w:t>.</w:t>
      </w:r>
      <w:r>
        <w:rPr>
          <w:rFonts w:ascii="Arial" w:hAnsi="Arial" w:cs="Arial"/>
          <w:bCs/>
          <w:color w:val="000000"/>
        </w:rPr>
        <w:t xml:space="preserve"> </w:t>
      </w:r>
    </w:p>
    <w:p w14:paraId="628D0C55" w14:textId="77777777" w:rsidR="002C22DA" w:rsidRDefault="002C22DA" w:rsidP="0016171A">
      <w:pPr>
        <w:rPr>
          <w:rFonts w:ascii="Arial" w:hAnsi="Arial" w:cs="Arial"/>
          <w:b/>
          <w:bCs/>
          <w:color w:val="000000"/>
        </w:rPr>
      </w:pPr>
    </w:p>
    <w:p w14:paraId="581EF3D7" w14:textId="3ACF0D92" w:rsidR="00A04C02" w:rsidRDefault="00A04C02" w:rsidP="0016171A">
      <w:pPr>
        <w:rPr>
          <w:rFonts w:ascii="Arial" w:hAnsi="Arial" w:cs="Arial"/>
          <w:b/>
          <w:bCs/>
          <w:color w:val="000000"/>
        </w:rPr>
      </w:pPr>
      <w:r w:rsidRPr="00E75BA1">
        <w:rPr>
          <w:rFonts w:ascii="Arial" w:hAnsi="Arial" w:cs="Arial"/>
          <w:b/>
          <w:bCs/>
          <w:color w:val="000000"/>
        </w:rPr>
        <w:t>3DEXPERIENCE Licenses and Software Contribution</w:t>
      </w:r>
    </w:p>
    <w:p w14:paraId="344868CA" w14:textId="77777777" w:rsidR="00D7487A" w:rsidRPr="00E75BA1" w:rsidRDefault="00D7487A" w:rsidP="0016171A">
      <w:pPr>
        <w:rPr>
          <w:rFonts w:ascii="Arial" w:hAnsi="Arial" w:cs="Arial"/>
          <w:b/>
          <w:bCs/>
          <w:color w:val="000000"/>
        </w:rPr>
      </w:pPr>
    </w:p>
    <w:p w14:paraId="367D6C94" w14:textId="322B461C" w:rsidR="00A04C02" w:rsidRPr="00E75BA1" w:rsidRDefault="00A04C02" w:rsidP="0016171A">
      <w:pPr>
        <w:autoSpaceDE w:val="0"/>
        <w:autoSpaceDN w:val="0"/>
        <w:adjustRightInd w:val="0"/>
        <w:jc w:val="both"/>
        <w:rPr>
          <w:rFonts w:ascii="Times New Roman" w:hAnsi="Times New Roman" w:cs="Times New Roman"/>
        </w:rPr>
      </w:pPr>
      <w:proofErr w:type="gramStart"/>
      <w:r w:rsidRPr="00E75BA1">
        <w:rPr>
          <w:rFonts w:ascii="Arial" w:eastAsia="SimSun" w:hAnsi="Arial" w:cs="Arial"/>
          <w:lang w:eastAsia="zh-CN"/>
        </w:rPr>
        <w:t xml:space="preserve">To measure the progressive penetration of </w:t>
      </w:r>
      <w:r w:rsidRPr="00E75BA1">
        <w:rPr>
          <w:rFonts w:ascii="Arial" w:eastAsia="SimSun" w:hAnsi="Arial" w:cs="Arial"/>
          <w:b/>
          <w:lang w:eastAsia="zh-CN"/>
        </w:rPr>
        <w:t>3D</w:t>
      </w:r>
      <w:r w:rsidRPr="00E75BA1">
        <w:rPr>
          <w:rFonts w:ascii="Arial" w:eastAsia="SimSun" w:hAnsi="Arial" w:cs="Arial"/>
          <w:lang w:eastAsia="zh-CN"/>
        </w:rPr>
        <w:t xml:space="preserve">EXPERIENCE software, we utilize the following ratios: a) for Licenses revenue, we calculate the percentage contribution by comparing total </w:t>
      </w:r>
      <w:r w:rsidRPr="00E75BA1">
        <w:rPr>
          <w:rFonts w:ascii="Arial" w:eastAsia="SimSun" w:hAnsi="Arial" w:cs="Arial"/>
          <w:b/>
          <w:lang w:eastAsia="zh-CN"/>
        </w:rPr>
        <w:t>3D</w:t>
      </w:r>
      <w:r w:rsidRPr="00E75BA1">
        <w:rPr>
          <w:rFonts w:ascii="Arial" w:eastAsia="SimSun" w:hAnsi="Arial" w:cs="Arial"/>
          <w:lang w:eastAsia="zh-CN"/>
        </w:rPr>
        <w:t xml:space="preserve">EXPERIENCE Licenses revenue to Licenses revenue for all product lines except SOLIDWORKS and acquisitions (“related Licenses revenue”); and, b) for software revenue, the </w:t>
      </w:r>
      <w:r w:rsidR="00250E8C">
        <w:rPr>
          <w:rFonts w:ascii="Arial" w:eastAsia="SimSun" w:hAnsi="Arial" w:cs="Arial"/>
          <w:lang w:eastAsia="zh-CN"/>
        </w:rPr>
        <w:t>Group</w:t>
      </w:r>
      <w:r w:rsidR="00A557D9" w:rsidRPr="00E75BA1">
        <w:rPr>
          <w:rFonts w:ascii="Arial" w:eastAsia="SimSun" w:hAnsi="Arial" w:cs="Arial"/>
          <w:lang w:eastAsia="zh-CN"/>
        </w:rPr>
        <w:t xml:space="preserve"> </w:t>
      </w:r>
      <w:r w:rsidRPr="00E75BA1">
        <w:rPr>
          <w:rFonts w:ascii="Arial" w:eastAsia="SimSun" w:hAnsi="Arial" w:cs="Arial"/>
          <w:lang w:eastAsia="zh-CN"/>
        </w:rPr>
        <w:t xml:space="preserve">calculates the percentage contribution by comparing total </w:t>
      </w:r>
      <w:r w:rsidRPr="00E75BA1">
        <w:rPr>
          <w:rFonts w:ascii="Arial" w:eastAsia="SimSun" w:hAnsi="Arial" w:cs="Arial"/>
          <w:b/>
          <w:lang w:eastAsia="zh-CN"/>
        </w:rPr>
        <w:t>3D</w:t>
      </w:r>
      <w:r w:rsidRPr="00E75BA1">
        <w:rPr>
          <w:rFonts w:ascii="Arial" w:eastAsia="SimSun" w:hAnsi="Arial" w:cs="Arial"/>
          <w:lang w:eastAsia="zh-CN"/>
        </w:rPr>
        <w:t>EXPERIENCE software revenue  to software revenue for all product lines except SOLIDWORKS and acquisitions (“related software revenue”).</w:t>
      </w:r>
      <w:proofErr w:type="gramEnd"/>
    </w:p>
    <w:p w14:paraId="04BB2BB5" w14:textId="77777777" w:rsidR="0016171A" w:rsidRPr="00E75BA1" w:rsidRDefault="0016171A" w:rsidP="0016171A">
      <w:pPr>
        <w:jc w:val="both"/>
        <w:rPr>
          <w:rFonts w:ascii="Times New Roman" w:hAnsi="Times New Roman" w:cs="Times New Roman"/>
          <w:b/>
          <w:bCs/>
          <w:color w:val="000000"/>
        </w:rPr>
      </w:pPr>
    </w:p>
    <w:p w14:paraId="5B4C0058" w14:textId="77777777" w:rsidR="003805D5" w:rsidRDefault="003805D5">
      <w:pPr>
        <w:spacing w:after="200" w:line="276" w:lineRule="auto"/>
        <w:rPr>
          <w:rFonts w:ascii="Arial" w:hAnsi="Arial" w:cs="Arial"/>
          <w:lang w:eastAsia="zh-CN"/>
        </w:rPr>
      </w:pPr>
      <w:r>
        <w:rPr>
          <w:rFonts w:ascii="Arial" w:hAnsi="Arial" w:cs="Arial"/>
          <w:lang w:eastAsia="zh-CN"/>
        </w:rPr>
        <w:br w:type="page"/>
      </w:r>
    </w:p>
    <w:p w14:paraId="64194587" w14:textId="77777777" w:rsidR="0044035E" w:rsidRPr="00CA4A72" w:rsidRDefault="0044035E" w:rsidP="0044035E">
      <w:pPr>
        <w:autoSpaceDE w:val="0"/>
        <w:autoSpaceDN w:val="0"/>
        <w:adjustRightInd w:val="0"/>
        <w:ind w:right="-113"/>
        <w:jc w:val="center"/>
        <w:rPr>
          <w:rFonts w:asciiTheme="minorHAnsi" w:hAnsiTheme="minorHAnsi" w:cstheme="minorHAnsi"/>
          <w:color w:val="000000"/>
        </w:rPr>
      </w:pPr>
      <w:r w:rsidRPr="00CA4A72">
        <w:rPr>
          <w:rFonts w:asciiTheme="minorHAnsi" w:hAnsiTheme="minorHAnsi" w:cstheme="minorHAnsi"/>
          <w:b/>
          <w:bCs/>
          <w:color w:val="000000"/>
        </w:rPr>
        <w:t>DASSAULT SYSTEMES</w:t>
      </w:r>
    </w:p>
    <w:p w14:paraId="388D44E7" w14:textId="77777777" w:rsidR="0044035E" w:rsidRPr="00CA4A72" w:rsidRDefault="0044035E" w:rsidP="0044035E">
      <w:pPr>
        <w:autoSpaceDE w:val="0"/>
        <w:autoSpaceDN w:val="0"/>
        <w:adjustRightInd w:val="0"/>
        <w:ind w:right="-113"/>
        <w:jc w:val="center"/>
        <w:rPr>
          <w:rFonts w:asciiTheme="minorHAnsi" w:hAnsiTheme="minorHAnsi" w:cstheme="minorHAnsi"/>
          <w:color w:val="000000"/>
        </w:rPr>
      </w:pPr>
      <w:r w:rsidRPr="00CA4A72">
        <w:rPr>
          <w:rFonts w:asciiTheme="minorHAnsi" w:hAnsiTheme="minorHAnsi" w:cstheme="minorHAnsi"/>
          <w:b/>
          <w:bCs/>
          <w:color w:val="000000"/>
        </w:rPr>
        <w:t>NON-IFRS FINANCIAL INFORMATION</w:t>
      </w:r>
    </w:p>
    <w:p w14:paraId="1E992B3C" w14:textId="77777777" w:rsidR="0044035E" w:rsidRPr="00CA4A72" w:rsidRDefault="0044035E" w:rsidP="0044035E">
      <w:pPr>
        <w:autoSpaceDE w:val="0"/>
        <w:autoSpaceDN w:val="0"/>
        <w:adjustRightInd w:val="0"/>
        <w:ind w:right="-113"/>
        <w:jc w:val="center"/>
        <w:rPr>
          <w:rFonts w:asciiTheme="minorHAnsi" w:eastAsia="MS Mincho" w:hAnsiTheme="minorHAnsi" w:cstheme="minorHAnsi"/>
          <w:bCs/>
          <w:color w:val="000000"/>
          <w:sz w:val="20"/>
          <w:szCs w:val="20"/>
          <w:lang w:eastAsia="ja-JP"/>
        </w:rPr>
      </w:pPr>
      <w:r w:rsidRPr="00CA4A72">
        <w:rPr>
          <w:rFonts w:asciiTheme="minorHAnsi" w:hAnsiTheme="minorHAnsi" w:cstheme="minorHAnsi"/>
          <w:color w:val="000000"/>
          <w:sz w:val="20"/>
          <w:szCs w:val="20"/>
        </w:rPr>
        <w:t>(</w:t>
      </w:r>
      <w:proofErr w:type="gramStart"/>
      <w:r w:rsidRPr="00CA4A72">
        <w:rPr>
          <w:rFonts w:asciiTheme="minorHAnsi" w:eastAsia="MS Mincho" w:hAnsiTheme="minorHAnsi" w:cstheme="minorHAnsi"/>
          <w:bCs/>
          <w:color w:val="000000"/>
          <w:sz w:val="20"/>
          <w:szCs w:val="20"/>
          <w:lang w:eastAsia="ja-JP"/>
        </w:rPr>
        <w:t>unaudited</w:t>
      </w:r>
      <w:proofErr w:type="gramEnd"/>
      <w:r w:rsidRPr="00CA4A72">
        <w:rPr>
          <w:rFonts w:asciiTheme="minorHAnsi" w:eastAsia="MS Mincho" w:hAnsiTheme="minorHAnsi" w:cstheme="minorHAnsi"/>
          <w:bCs/>
          <w:color w:val="000000"/>
          <w:sz w:val="20"/>
          <w:szCs w:val="20"/>
          <w:lang w:eastAsia="ja-JP"/>
        </w:rPr>
        <w:t>; in millions of Euros, except per share data, percentages, headcount and exchange rates)</w:t>
      </w:r>
    </w:p>
    <w:p w14:paraId="751C640D" w14:textId="77777777" w:rsidR="0044035E" w:rsidRPr="00CA4A72" w:rsidRDefault="0044035E" w:rsidP="0044035E">
      <w:pPr>
        <w:autoSpaceDE w:val="0"/>
        <w:autoSpaceDN w:val="0"/>
        <w:adjustRightInd w:val="0"/>
        <w:ind w:right="-113"/>
        <w:jc w:val="center"/>
        <w:rPr>
          <w:rFonts w:asciiTheme="minorHAnsi" w:eastAsia="MS Mincho" w:hAnsiTheme="minorHAnsi" w:cstheme="minorHAnsi"/>
          <w:bCs/>
          <w:color w:val="000000"/>
          <w:sz w:val="20"/>
          <w:szCs w:val="20"/>
          <w:lang w:eastAsia="ja-JP"/>
        </w:rPr>
      </w:pPr>
    </w:p>
    <w:p w14:paraId="5D373CF5" w14:textId="77777777" w:rsidR="0044035E" w:rsidRPr="00CA4A72" w:rsidRDefault="0044035E" w:rsidP="0044035E">
      <w:pPr>
        <w:autoSpaceDE w:val="0"/>
        <w:autoSpaceDN w:val="0"/>
        <w:adjustRightInd w:val="0"/>
        <w:ind w:right="-113"/>
        <w:jc w:val="both"/>
        <w:rPr>
          <w:rFonts w:asciiTheme="minorHAnsi" w:eastAsia="MS Mincho" w:hAnsiTheme="minorHAnsi" w:cstheme="minorHAnsi"/>
          <w:bCs/>
          <w:color w:val="000000"/>
          <w:sz w:val="16"/>
          <w:lang w:eastAsia="ja-JP"/>
        </w:rPr>
      </w:pPr>
      <w:proofErr w:type="gramStart"/>
      <w:r w:rsidRPr="00CA4A72">
        <w:rPr>
          <w:rFonts w:asciiTheme="minorHAnsi" w:eastAsia="MS Mincho" w:hAnsiTheme="minorHAnsi" w:cstheme="minorHAnsi"/>
          <w:bCs/>
          <w:color w:val="000000"/>
          <w:sz w:val="16"/>
          <w:lang w:eastAsia="ja-JP"/>
        </w:rPr>
        <w:t>Non-IFRS key figures exclude the effects of adjusting the carrying value of acquired companies’ deferred revenue, share-based compensation expense and related social charges, amortization of acquired intangible assets and of tangible assets revaluation, lease incentives of acquired companies, other operating income and expense, net, including the impairment of goodwill and acquired intangible assets, certain one-time financial revenue items and the income tax effects of these non-IFRS adjustments.</w:t>
      </w:r>
      <w:proofErr w:type="gramEnd"/>
    </w:p>
    <w:p w14:paraId="2B2A751F" w14:textId="77777777" w:rsidR="0044035E" w:rsidRPr="00CA4A72" w:rsidRDefault="0044035E" w:rsidP="0044035E">
      <w:pPr>
        <w:ind w:right="-113"/>
        <w:jc w:val="both"/>
        <w:rPr>
          <w:rFonts w:asciiTheme="minorHAnsi" w:eastAsia="MS Mincho" w:hAnsiTheme="minorHAnsi" w:cstheme="minorHAnsi"/>
          <w:bCs/>
          <w:color w:val="000000"/>
          <w:sz w:val="14"/>
          <w:szCs w:val="16"/>
          <w:lang w:eastAsia="ja-JP"/>
        </w:rPr>
      </w:pPr>
      <w:r w:rsidRPr="00CA4A72">
        <w:rPr>
          <w:rFonts w:asciiTheme="minorHAnsi" w:eastAsia="MS Mincho" w:hAnsiTheme="minorHAnsi" w:cstheme="minorHAnsi"/>
          <w:bCs/>
          <w:color w:val="000000"/>
          <w:sz w:val="16"/>
          <w:lang w:eastAsia="ja-JP"/>
        </w:rPr>
        <w:t xml:space="preserve">Comparable IFRS financial information and a reconciliation of the IFRS and non-IFRS measures are set forth in the separate tables within this Attachment. </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5"/>
        <w:gridCol w:w="907"/>
        <w:gridCol w:w="907"/>
        <w:gridCol w:w="752"/>
        <w:gridCol w:w="756"/>
        <w:gridCol w:w="907"/>
        <w:gridCol w:w="907"/>
        <w:gridCol w:w="709"/>
        <w:gridCol w:w="819"/>
      </w:tblGrid>
      <w:tr w:rsidR="0044035E" w:rsidRPr="00CA4A72" w14:paraId="19274D85" w14:textId="77777777" w:rsidTr="006A1A41">
        <w:trPr>
          <w:trHeight w:val="227"/>
        </w:trPr>
        <w:tc>
          <w:tcPr>
            <w:tcW w:w="2975" w:type="dxa"/>
            <w:vMerge w:val="restart"/>
            <w:tcBorders>
              <w:top w:val="single" w:sz="4" w:space="0" w:color="auto"/>
              <w:bottom w:val="single" w:sz="4" w:space="0" w:color="auto"/>
              <w:right w:val="single" w:sz="4" w:space="0" w:color="auto"/>
            </w:tcBorders>
            <w:shd w:val="clear" w:color="auto" w:fill="auto"/>
            <w:vAlign w:val="center"/>
          </w:tcPr>
          <w:p w14:paraId="16DBF23E" w14:textId="77777777" w:rsidR="0044035E" w:rsidRPr="00CA4A72" w:rsidRDefault="0044035E" w:rsidP="006A1A41">
            <w:pPr>
              <w:jc w:val="center"/>
              <w:rPr>
                <w:rFonts w:asciiTheme="minorHAnsi" w:hAnsiTheme="minorHAnsi" w:cstheme="minorHAnsi"/>
                <w:sz w:val="12"/>
                <w:szCs w:val="12"/>
              </w:rPr>
            </w:pPr>
            <w:r w:rsidRPr="00CA4A72">
              <w:rPr>
                <w:rFonts w:asciiTheme="minorHAnsi" w:hAnsiTheme="minorHAnsi" w:cstheme="minorHAnsi"/>
                <w:sz w:val="12"/>
                <w:szCs w:val="12"/>
              </w:rPr>
              <w:t>In millions of Euros, except per share data, percentages, headcount and exchange rates</w:t>
            </w:r>
          </w:p>
        </w:tc>
        <w:tc>
          <w:tcPr>
            <w:tcW w:w="6664" w:type="dxa"/>
            <w:gridSpan w:val="8"/>
            <w:tcBorders>
              <w:top w:val="single" w:sz="4" w:space="0" w:color="auto"/>
              <w:left w:val="single" w:sz="4" w:space="0" w:color="auto"/>
              <w:bottom w:val="single" w:sz="4" w:space="0" w:color="auto"/>
            </w:tcBorders>
            <w:shd w:val="clear" w:color="auto" w:fill="auto"/>
            <w:vAlign w:val="center"/>
          </w:tcPr>
          <w:p w14:paraId="0EE8EF0C" w14:textId="77777777" w:rsidR="0044035E" w:rsidRPr="00CA4A72" w:rsidRDefault="0044035E" w:rsidP="006A1A41">
            <w:pPr>
              <w:jc w:val="center"/>
              <w:rPr>
                <w:rFonts w:asciiTheme="minorHAnsi" w:hAnsiTheme="minorHAnsi" w:cstheme="minorHAnsi"/>
                <w:b/>
                <w:bCs/>
                <w:sz w:val="12"/>
                <w:szCs w:val="12"/>
              </w:rPr>
            </w:pPr>
            <w:r w:rsidRPr="00CA4A72">
              <w:rPr>
                <w:rFonts w:asciiTheme="minorHAnsi" w:hAnsiTheme="minorHAnsi" w:cstheme="minorHAnsi"/>
                <w:b/>
                <w:bCs/>
                <w:sz w:val="12"/>
                <w:szCs w:val="12"/>
              </w:rPr>
              <w:t>Non-IFRS reported</w:t>
            </w:r>
          </w:p>
        </w:tc>
      </w:tr>
      <w:tr w:rsidR="0044035E" w:rsidRPr="00CA4A72" w14:paraId="7AE74E35" w14:textId="77777777" w:rsidTr="006A1A41">
        <w:trPr>
          <w:trHeight w:val="227"/>
        </w:trPr>
        <w:tc>
          <w:tcPr>
            <w:tcW w:w="2975" w:type="dxa"/>
            <w:vMerge/>
            <w:tcBorders>
              <w:top w:val="nil"/>
              <w:bottom w:val="single" w:sz="4" w:space="0" w:color="auto"/>
              <w:right w:val="single" w:sz="4" w:space="0" w:color="auto"/>
            </w:tcBorders>
            <w:shd w:val="clear" w:color="auto" w:fill="auto"/>
            <w:vAlign w:val="center"/>
            <w:hideMark/>
          </w:tcPr>
          <w:p w14:paraId="13D59699" w14:textId="77777777" w:rsidR="0044035E" w:rsidRPr="00CA4A72" w:rsidRDefault="0044035E" w:rsidP="006A1A41">
            <w:pPr>
              <w:jc w:val="center"/>
              <w:rPr>
                <w:rFonts w:asciiTheme="minorHAnsi" w:eastAsia="Times New Roman" w:hAnsiTheme="minorHAnsi" w:cstheme="minorHAnsi"/>
                <w:sz w:val="12"/>
                <w:szCs w:val="12"/>
              </w:rPr>
            </w:pPr>
          </w:p>
        </w:tc>
        <w:tc>
          <w:tcPr>
            <w:tcW w:w="33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3FF36AA" w14:textId="77777777" w:rsidR="0044035E" w:rsidRPr="00CA4A72" w:rsidRDefault="0044035E" w:rsidP="006A1A41">
            <w:pPr>
              <w:jc w:val="center"/>
              <w:rPr>
                <w:rFonts w:asciiTheme="minorHAnsi" w:eastAsia="Times New Roman" w:hAnsiTheme="minorHAnsi" w:cstheme="minorHAnsi"/>
                <w:b/>
                <w:bCs/>
                <w:sz w:val="12"/>
                <w:szCs w:val="12"/>
              </w:rPr>
            </w:pPr>
            <w:r>
              <w:rPr>
                <w:rFonts w:asciiTheme="minorHAnsi" w:hAnsiTheme="minorHAnsi" w:cstheme="minorHAnsi"/>
                <w:b/>
                <w:bCs/>
                <w:sz w:val="12"/>
                <w:szCs w:val="12"/>
              </w:rPr>
              <w:t>Three</w:t>
            </w:r>
            <w:r w:rsidRPr="00CA4A72">
              <w:rPr>
                <w:rFonts w:asciiTheme="minorHAnsi" w:hAnsiTheme="minorHAnsi" w:cstheme="minorHAnsi"/>
                <w:b/>
                <w:bCs/>
                <w:sz w:val="12"/>
                <w:szCs w:val="12"/>
              </w:rPr>
              <w:t xml:space="preserve"> months ended</w:t>
            </w:r>
          </w:p>
        </w:tc>
        <w:tc>
          <w:tcPr>
            <w:tcW w:w="3342" w:type="dxa"/>
            <w:gridSpan w:val="4"/>
            <w:tcBorders>
              <w:top w:val="single" w:sz="4" w:space="0" w:color="auto"/>
              <w:left w:val="single" w:sz="4" w:space="0" w:color="auto"/>
              <w:bottom w:val="single" w:sz="4" w:space="0" w:color="auto"/>
            </w:tcBorders>
            <w:shd w:val="clear" w:color="auto" w:fill="auto"/>
            <w:noWrap/>
            <w:vAlign w:val="center"/>
            <w:hideMark/>
          </w:tcPr>
          <w:p w14:paraId="70E0CB61" w14:textId="77777777" w:rsidR="0044035E" w:rsidRPr="00CA4A72" w:rsidRDefault="0044035E" w:rsidP="006A1A41">
            <w:pPr>
              <w:jc w:val="center"/>
              <w:rPr>
                <w:rFonts w:asciiTheme="minorHAnsi" w:eastAsia="Times New Roman" w:hAnsiTheme="minorHAnsi" w:cstheme="minorHAnsi"/>
                <w:b/>
                <w:bCs/>
                <w:sz w:val="12"/>
                <w:szCs w:val="12"/>
              </w:rPr>
            </w:pPr>
            <w:r w:rsidRPr="00D946AA">
              <w:rPr>
                <w:rFonts w:asciiTheme="minorHAnsi" w:hAnsiTheme="minorHAnsi" w:cstheme="minorHAnsi"/>
                <w:b/>
                <w:bCs/>
                <w:sz w:val="12"/>
                <w:szCs w:val="12"/>
              </w:rPr>
              <w:t>Six months ended</w:t>
            </w:r>
          </w:p>
        </w:tc>
      </w:tr>
      <w:tr w:rsidR="0044035E" w:rsidRPr="00CA4A72" w14:paraId="46EFC02C" w14:textId="77777777" w:rsidTr="006A1A41">
        <w:trPr>
          <w:trHeight w:val="439"/>
        </w:trPr>
        <w:tc>
          <w:tcPr>
            <w:tcW w:w="2975" w:type="dxa"/>
            <w:vMerge/>
            <w:tcBorders>
              <w:top w:val="nil"/>
              <w:bottom w:val="single" w:sz="4" w:space="0" w:color="auto"/>
              <w:right w:val="single" w:sz="4" w:space="0" w:color="auto"/>
            </w:tcBorders>
            <w:vAlign w:val="center"/>
            <w:hideMark/>
          </w:tcPr>
          <w:p w14:paraId="16B03EC4" w14:textId="77777777" w:rsidR="0044035E" w:rsidRPr="00CA4A72" w:rsidRDefault="0044035E" w:rsidP="006A1A41">
            <w:pPr>
              <w:rPr>
                <w:rFonts w:asciiTheme="minorHAnsi" w:eastAsia="Times New Roman" w:hAnsiTheme="minorHAnsi" w:cstheme="minorHAnsi"/>
                <w:sz w:val="12"/>
                <w:szCs w:val="12"/>
              </w:rPr>
            </w:pPr>
          </w:p>
        </w:tc>
        <w:tc>
          <w:tcPr>
            <w:tcW w:w="907" w:type="dxa"/>
            <w:tcBorders>
              <w:top w:val="single" w:sz="4" w:space="0" w:color="auto"/>
              <w:left w:val="single" w:sz="4" w:space="0" w:color="auto"/>
              <w:bottom w:val="single" w:sz="4" w:space="0" w:color="auto"/>
            </w:tcBorders>
            <w:shd w:val="clear" w:color="auto" w:fill="auto"/>
            <w:vAlign w:val="center"/>
            <w:hideMark/>
          </w:tcPr>
          <w:p w14:paraId="0264B442" w14:textId="77777777" w:rsidR="0044035E" w:rsidRPr="00CA4A72" w:rsidRDefault="0044035E" w:rsidP="006A1A41">
            <w:pPr>
              <w:jc w:val="right"/>
              <w:rPr>
                <w:rFonts w:asciiTheme="minorHAnsi" w:eastAsia="Times New Roman" w:hAnsiTheme="minorHAnsi" w:cstheme="minorHAnsi"/>
                <w:b/>
                <w:bCs/>
                <w:sz w:val="12"/>
                <w:szCs w:val="12"/>
              </w:rPr>
            </w:pPr>
            <w:r>
              <w:rPr>
                <w:rFonts w:asciiTheme="minorHAnsi" w:hAnsiTheme="minorHAnsi" w:cstheme="minorHAnsi"/>
                <w:b/>
                <w:bCs/>
                <w:sz w:val="12"/>
                <w:szCs w:val="12"/>
              </w:rPr>
              <w:t>June</w:t>
            </w:r>
            <w:r w:rsidRPr="00CA4A72">
              <w:rPr>
                <w:rFonts w:asciiTheme="minorHAnsi" w:hAnsiTheme="minorHAnsi" w:cstheme="minorHAnsi"/>
                <w:b/>
                <w:bCs/>
                <w:sz w:val="12"/>
                <w:szCs w:val="12"/>
              </w:rPr>
              <w:t xml:space="preserve"> 3</w:t>
            </w:r>
            <w:r>
              <w:rPr>
                <w:rFonts w:asciiTheme="minorHAnsi" w:hAnsiTheme="minorHAnsi" w:cstheme="minorHAnsi"/>
                <w:b/>
                <w:bCs/>
                <w:sz w:val="12"/>
                <w:szCs w:val="12"/>
              </w:rPr>
              <w:t>0</w:t>
            </w:r>
            <w:r w:rsidRPr="00CA4A72">
              <w:rPr>
                <w:rFonts w:asciiTheme="minorHAnsi" w:hAnsiTheme="minorHAnsi" w:cstheme="minorHAnsi"/>
                <w:b/>
                <w:bCs/>
                <w:sz w:val="12"/>
                <w:szCs w:val="12"/>
              </w:rPr>
              <w:t>,</w:t>
            </w:r>
          </w:p>
          <w:p w14:paraId="6C63ED4A" w14:textId="77777777" w:rsidR="0044035E" w:rsidRPr="00CA4A72" w:rsidRDefault="0044035E" w:rsidP="006A1A41">
            <w:pPr>
              <w:jc w:val="right"/>
              <w:rPr>
                <w:rFonts w:asciiTheme="minorHAnsi" w:eastAsia="Times New Roman" w:hAnsiTheme="minorHAnsi" w:cstheme="minorHAnsi"/>
                <w:b/>
                <w:bCs/>
                <w:sz w:val="12"/>
                <w:szCs w:val="12"/>
              </w:rPr>
            </w:pPr>
            <w:r w:rsidRPr="00CA4A72">
              <w:rPr>
                <w:rFonts w:asciiTheme="minorHAnsi" w:hAnsiTheme="minorHAnsi" w:cstheme="minorHAnsi"/>
                <w:b/>
                <w:bCs/>
                <w:sz w:val="12"/>
                <w:szCs w:val="12"/>
              </w:rPr>
              <w:t>2020</w:t>
            </w:r>
          </w:p>
        </w:tc>
        <w:tc>
          <w:tcPr>
            <w:tcW w:w="907" w:type="dxa"/>
            <w:tcBorders>
              <w:top w:val="single" w:sz="4" w:space="0" w:color="auto"/>
              <w:bottom w:val="single" w:sz="4" w:space="0" w:color="auto"/>
            </w:tcBorders>
            <w:shd w:val="clear" w:color="auto" w:fill="auto"/>
            <w:vAlign w:val="center"/>
            <w:hideMark/>
          </w:tcPr>
          <w:p w14:paraId="50931B42" w14:textId="77777777" w:rsidR="0044035E" w:rsidRPr="00CA4A72" w:rsidRDefault="0044035E" w:rsidP="006A1A41">
            <w:pPr>
              <w:jc w:val="right"/>
              <w:rPr>
                <w:rFonts w:asciiTheme="minorHAnsi" w:eastAsia="Times New Roman" w:hAnsiTheme="minorHAnsi" w:cstheme="minorHAnsi"/>
                <w:b/>
                <w:bCs/>
                <w:sz w:val="12"/>
                <w:szCs w:val="12"/>
              </w:rPr>
            </w:pPr>
            <w:r>
              <w:rPr>
                <w:rFonts w:asciiTheme="minorHAnsi" w:hAnsiTheme="minorHAnsi" w:cstheme="minorHAnsi"/>
                <w:b/>
                <w:bCs/>
                <w:sz w:val="12"/>
                <w:szCs w:val="12"/>
              </w:rPr>
              <w:t>June</w:t>
            </w:r>
            <w:r w:rsidRPr="00CA4A72">
              <w:rPr>
                <w:rFonts w:asciiTheme="minorHAnsi" w:hAnsiTheme="minorHAnsi" w:cstheme="minorHAnsi"/>
                <w:b/>
                <w:bCs/>
                <w:sz w:val="12"/>
                <w:szCs w:val="12"/>
              </w:rPr>
              <w:t xml:space="preserve"> 3</w:t>
            </w:r>
            <w:r>
              <w:rPr>
                <w:rFonts w:asciiTheme="minorHAnsi" w:hAnsiTheme="minorHAnsi" w:cstheme="minorHAnsi"/>
                <w:b/>
                <w:bCs/>
                <w:sz w:val="12"/>
                <w:szCs w:val="12"/>
              </w:rPr>
              <w:t>0</w:t>
            </w:r>
            <w:r w:rsidRPr="00CA4A72">
              <w:rPr>
                <w:rFonts w:asciiTheme="minorHAnsi" w:hAnsiTheme="minorHAnsi" w:cstheme="minorHAnsi"/>
                <w:b/>
                <w:bCs/>
                <w:sz w:val="12"/>
                <w:szCs w:val="12"/>
              </w:rPr>
              <w:t>,</w:t>
            </w:r>
          </w:p>
          <w:p w14:paraId="3689889F" w14:textId="77777777" w:rsidR="0044035E" w:rsidRPr="00CA4A72" w:rsidRDefault="0044035E" w:rsidP="006A1A41">
            <w:pPr>
              <w:jc w:val="right"/>
              <w:rPr>
                <w:rFonts w:asciiTheme="minorHAnsi" w:eastAsia="Times New Roman" w:hAnsiTheme="minorHAnsi" w:cstheme="minorHAnsi"/>
                <w:b/>
                <w:bCs/>
                <w:sz w:val="12"/>
                <w:szCs w:val="12"/>
              </w:rPr>
            </w:pPr>
            <w:r w:rsidRPr="00CA4A72">
              <w:rPr>
                <w:rFonts w:asciiTheme="minorHAnsi" w:hAnsiTheme="minorHAnsi" w:cstheme="minorHAnsi"/>
                <w:b/>
                <w:bCs/>
                <w:sz w:val="12"/>
                <w:szCs w:val="12"/>
              </w:rPr>
              <w:t>2019</w:t>
            </w:r>
          </w:p>
        </w:tc>
        <w:tc>
          <w:tcPr>
            <w:tcW w:w="752" w:type="dxa"/>
            <w:tcBorders>
              <w:top w:val="single" w:sz="4" w:space="0" w:color="auto"/>
              <w:bottom w:val="single" w:sz="4" w:space="0" w:color="auto"/>
            </w:tcBorders>
            <w:shd w:val="clear" w:color="auto" w:fill="auto"/>
            <w:vAlign w:val="center"/>
            <w:hideMark/>
          </w:tcPr>
          <w:p w14:paraId="554B06D7" w14:textId="77777777" w:rsidR="0044035E" w:rsidRPr="00CA4A72" w:rsidRDefault="0044035E" w:rsidP="006A1A41">
            <w:pPr>
              <w:jc w:val="right"/>
              <w:rPr>
                <w:rFonts w:asciiTheme="minorHAnsi" w:eastAsia="Times New Roman" w:hAnsiTheme="minorHAnsi" w:cstheme="minorHAnsi"/>
                <w:b/>
                <w:bCs/>
                <w:sz w:val="12"/>
                <w:szCs w:val="12"/>
              </w:rPr>
            </w:pPr>
            <w:r w:rsidRPr="00CA4A72">
              <w:rPr>
                <w:rFonts w:asciiTheme="minorHAnsi" w:hAnsiTheme="minorHAnsi" w:cstheme="minorHAnsi"/>
                <w:b/>
                <w:bCs/>
                <w:sz w:val="12"/>
                <w:szCs w:val="12"/>
              </w:rPr>
              <w:t>Change</w:t>
            </w:r>
          </w:p>
        </w:tc>
        <w:tc>
          <w:tcPr>
            <w:tcW w:w="756" w:type="dxa"/>
            <w:tcBorders>
              <w:top w:val="single" w:sz="4" w:space="0" w:color="auto"/>
              <w:bottom w:val="single" w:sz="4" w:space="0" w:color="auto"/>
              <w:right w:val="single" w:sz="4" w:space="0" w:color="auto"/>
            </w:tcBorders>
            <w:shd w:val="clear" w:color="auto" w:fill="auto"/>
            <w:vAlign w:val="center"/>
            <w:hideMark/>
          </w:tcPr>
          <w:p w14:paraId="3A524018" w14:textId="77777777" w:rsidR="0044035E" w:rsidRPr="00CA4A72" w:rsidRDefault="0044035E" w:rsidP="006A1A41">
            <w:pPr>
              <w:jc w:val="right"/>
              <w:rPr>
                <w:rFonts w:asciiTheme="minorHAnsi" w:eastAsia="Times New Roman" w:hAnsiTheme="minorHAnsi" w:cstheme="minorHAnsi"/>
                <w:b/>
                <w:bCs/>
                <w:sz w:val="12"/>
                <w:szCs w:val="12"/>
              </w:rPr>
            </w:pPr>
            <w:r w:rsidRPr="008B014D">
              <w:rPr>
                <w:rFonts w:asciiTheme="minorHAnsi" w:hAnsiTheme="minorHAnsi" w:cstheme="minorHAnsi"/>
                <w:b/>
                <w:bCs/>
                <w:sz w:val="12"/>
                <w:szCs w:val="12"/>
              </w:rPr>
              <w:t xml:space="preserve">Change in </w:t>
            </w:r>
            <w:r w:rsidRPr="00F940FF">
              <w:rPr>
                <w:rFonts w:asciiTheme="minorHAnsi" w:hAnsiTheme="minorHAnsi" w:cstheme="minorHAnsi"/>
                <w:b/>
                <w:bCs/>
                <w:sz w:val="12"/>
                <w:szCs w:val="12"/>
              </w:rPr>
              <w:t>constant currencies</w:t>
            </w:r>
          </w:p>
        </w:tc>
        <w:tc>
          <w:tcPr>
            <w:tcW w:w="907" w:type="dxa"/>
            <w:tcBorders>
              <w:top w:val="single" w:sz="4" w:space="0" w:color="auto"/>
              <w:left w:val="single" w:sz="4" w:space="0" w:color="auto"/>
              <w:bottom w:val="single" w:sz="4" w:space="0" w:color="auto"/>
            </w:tcBorders>
            <w:shd w:val="clear" w:color="auto" w:fill="auto"/>
            <w:vAlign w:val="center"/>
            <w:hideMark/>
          </w:tcPr>
          <w:p w14:paraId="0071B855" w14:textId="77777777" w:rsidR="0044035E" w:rsidRPr="00CA4A72" w:rsidRDefault="0044035E" w:rsidP="006A1A41">
            <w:pPr>
              <w:jc w:val="right"/>
              <w:rPr>
                <w:rFonts w:asciiTheme="minorHAnsi" w:eastAsia="Times New Roman" w:hAnsiTheme="minorHAnsi" w:cstheme="minorHAnsi"/>
                <w:b/>
                <w:bCs/>
                <w:sz w:val="12"/>
                <w:szCs w:val="12"/>
              </w:rPr>
            </w:pPr>
            <w:r>
              <w:rPr>
                <w:rFonts w:asciiTheme="minorHAnsi" w:hAnsiTheme="minorHAnsi" w:cstheme="minorHAnsi"/>
                <w:b/>
                <w:bCs/>
                <w:sz w:val="12"/>
                <w:szCs w:val="12"/>
              </w:rPr>
              <w:t>June</w:t>
            </w:r>
            <w:r w:rsidRPr="00CA4A72">
              <w:rPr>
                <w:rFonts w:asciiTheme="minorHAnsi" w:hAnsiTheme="minorHAnsi" w:cstheme="minorHAnsi"/>
                <w:b/>
                <w:bCs/>
                <w:sz w:val="12"/>
                <w:szCs w:val="12"/>
              </w:rPr>
              <w:t xml:space="preserve"> 3</w:t>
            </w:r>
            <w:r>
              <w:rPr>
                <w:rFonts w:asciiTheme="minorHAnsi" w:hAnsiTheme="minorHAnsi" w:cstheme="minorHAnsi"/>
                <w:b/>
                <w:bCs/>
                <w:sz w:val="12"/>
                <w:szCs w:val="12"/>
              </w:rPr>
              <w:t>0</w:t>
            </w:r>
            <w:r w:rsidRPr="00CA4A72">
              <w:rPr>
                <w:rFonts w:asciiTheme="minorHAnsi" w:hAnsiTheme="minorHAnsi" w:cstheme="minorHAnsi"/>
                <w:b/>
                <w:bCs/>
                <w:sz w:val="12"/>
                <w:szCs w:val="12"/>
              </w:rPr>
              <w:t>,</w:t>
            </w:r>
          </w:p>
          <w:p w14:paraId="25B93FAA" w14:textId="77777777" w:rsidR="0044035E" w:rsidRPr="00CA4A72" w:rsidRDefault="0044035E" w:rsidP="006A1A41">
            <w:pPr>
              <w:jc w:val="right"/>
              <w:rPr>
                <w:rFonts w:asciiTheme="minorHAnsi" w:eastAsia="Times New Roman" w:hAnsiTheme="minorHAnsi" w:cstheme="minorHAnsi"/>
                <w:b/>
                <w:bCs/>
                <w:sz w:val="12"/>
                <w:szCs w:val="12"/>
              </w:rPr>
            </w:pPr>
            <w:r w:rsidRPr="00CA4A72">
              <w:rPr>
                <w:rFonts w:asciiTheme="minorHAnsi" w:hAnsiTheme="minorHAnsi" w:cstheme="minorHAnsi"/>
                <w:b/>
                <w:bCs/>
                <w:sz w:val="12"/>
                <w:szCs w:val="12"/>
              </w:rPr>
              <w:t>2020</w:t>
            </w:r>
          </w:p>
        </w:tc>
        <w:tc>
          <w:tcPr>
            <w:tcW w:w="907" w:type="dxa"/>
            <w:tcBorders>
              <w:top w:val="single" w:sz="4" w:space="0" w:color="auto"/>
              <w:bottom w:val="single" w:sz="4" w:space="0" w:color="auto"/>
            </w:tcBorders>
            <w:shd w:val="clear" w:color="auto" w:fill="auto"/>
            <w:vAlign w:val="center"/>
            <w:hideMark/>
          </w:tcPr>
          <w:p w14:paraId="4ECC2BBC" w14:textId="77777777" w:rsidR="0044035E" w:rsidRPr="00CA4A72" w:rsidRDefault="0044035E" w:rsidP="006A1A41">
            <w:pPr>
              <w:jc w:val="right"/>
              <w:rPr>
                <w:rFonts w:asciiTheme="minorHAnsi" w:eastAsia="Times New Roman" w:hAnsiTheme="minorHAnsi" w:cstheme="minorHAnsi"/>
                <w:b/>
                <w:bCs/>
                <w:sz w:val="12"/>
                <w:szCs w:val="12"/>
              </w:rPr>
            </w:pPr>
            <w:r>
              <w:rPr>
                <w:rFonts w:asciiTheme="minorHAnsi" w:hAnsiTheme="minorHAnsi" w:cstheme="minorHAnsi"/>
                <w:b/>
                <w:bCs/>
                <w:sz w:val="12"/>
                <w:szCs w:val="12"/>
              </w:rPr>
              <w:t>June</w:t>
            </w:r>
            <w:r w:rsidRPr="00CA4A72">
              <w:rPr>
                <w:rFonts w:asciiTheme="minorHAnsi" w:hAnsiTheme="minorHAnsi" w:cstheme="minorHAnsi"/>
                <w:b/>
                <w:bCs/>
                <w:sz w:val="12"/>
                <w:szCs w:val="12"/>
              </w:rPr>
              <w:t xml:space="preserve"> 3</w:t>
            </w:r>
            <w:r>
              <w:rPr>
                <w:rFonts w:asciiTheme="minorHAnsi" w:hAnsiTheme="minorHAnsi" w:cstheme="minorHAnsi"/>
                <w:b/>
                <w:bCs/>
                <w:sz w:val="12"/>
                <w:szCs w:val="12"/>
              </w:rPr>
              <w:t>0</w:t>
            </w:r>
            <w:r w:rsidRPr="00CA4A72">
              <w:rPr>
                <w:rFonts w:asciiTheme="minorHAnsi" w:hAnsiTheme="minorHAnsi" w:cstheme="minorHAnsi"/>
                <w:b/>
                <w:bCs/>
                <w:sz w:val="12"/>
                <w:szCs w:val="12"/>
              </w:rPr>
              <w:t>,</w:t>
            </w:r>
          </w:p>
          <w:p w14:paraId="09B69B83" w14:textId="77777777" w:rsidR="0044035E" w:rsidRPr="00CA4A72" w:rsidRDefault="0044035E" w:rsidP="006A1A41">
            <w:pPr>
              <w:jc w:val="right"/>
              <w:rPr>
                <w:rFonts w:asciiTheme="minorHAnsi" w:eastAsia="Times New Roman" w:hAnsiTheme="minorHAnsi" w:cstheme="minorHAnsi"/>
                <w:b/>
                <w:bCs/>
                <w:sz w:val="12"/>
                <w:szCs w:val="12"/>
              </w:rPr>
            </w:pPr>
            <w:r w:rsidRPr="00CA4A72">
              <w:rPr>
                <w:rFonts w:asciiTheme="minorHAnsi" w:hAnsiTheme="minorHAnsi" w:cstheme="minorHAnsi"/>
                <w:b/>
                <w:bCs/>
                <w:sz w:val="12"/>
                <w:szCs w:val="12"/>
              </w:rPr>
              <w:t>2019</w:t>
            </w:r>
          </w:p>
        </w:tc>
        <w:tc>
          <w:tcPr>
            <w:tcW w:w="709" w:type="dxa"/>
            <w:tcBorders>
              <w:top w:val="single" w:sz="4" w:space="0" w:color="auto"/>
              <w:bottom w:val="single" w:sz="4" w:space="0" w:color="auto"/>
            </w:tcBorders>
            <w:shd w:val="clear" w:color="auto" w:fill="auto"/>
            <w:vAlign w:val="center"/>
            <w:hideMark/>
          </w:tcPr>
          <w:p w14:paraId="3D78A20B" w14:textId="77777777" w:rsidR="0044035E" w:rsidRPr="00CA4A72" w:rsidRDefault="0044035E" w:rsidP="006A1A41">
            <w:pPr>
              <w:jc w:val="right"/>
              <w:rPr>
                <w:rFonts w:asciiTheme="minorHAnsi" w:eastAsia="Times New Roman" w:hAnsiTheme="minorHAnsi" w:cstheme="minorHAnsi"/>
                <w:b/>
                <w:bCs/>
                <w:sz w:val="12"/>
                <w:szCs w:val="12"/>
              </w:rPr>
            </w:pPr>
            <w:r w:rsidRPr="00CA4A72">
              <w:rPr>
                <w:rFonts w:asciiTheme="minorHAnsi" w:hAnsiTheme="minorHAnsi" w:cstheme="minorHAnsi"/>
                <w:b/>
                <w:bCs/>
                <w:sz w:val="12"/>
                <w:szCs w:val="12"/>
              </w:rPr>
              <w:t>Change</w:t>
            </w:r>
          </w:p>
        </w:tc>
        <w:tc>
          <w:tcPr>
            <w:tcW w:w="819" w:type="dxa"/>
            <w:tcBorders>
              <w:top w:val="single" w:sz="4" w:space="0" w:color="auto"/>
              <w:bottom w:val="single" w:sz="4" w:space="0" w:color="auto"/>
            </w:tcBorders>
            <w:shd w:val="clear" w:color="auto" w:fill="auto"/>
            <w:vAlign w:val="center"/>
            <w:hideMark/>
          </w:tcPr>
          <w:p w14:paraId="57ED5557" w14:textId="77777777" w:rsidR="0044035E" w:rsidRPr="00CA4A72" w:rsidRDefault="0044035E" w:rsidP="006A1A41">
            <w:pPr>
              <w:jc w:val="right"/>
              <w:rPr>
                <w:rFonts w:asciiTheme="minorHAnsi" w:eastAsia="Times New Roman" w:hAnsiTheme="minorHAnsi" w:cstheme="minorHAnsi"/>
                <w:b/>
                <w:bCs/>
                <w:sz w:val="12"/>
                <w:szCs w:val="12"/>
              </w:rPr>
            </w:pPr>
            <w:r w:rsidRPr="008B014D">
              <w:rPr>
                <w:rFonts w:asciiTheme="minorHAnsi" w:hAnsiTheme="minorHAnsi" w:cstheme="minorHAnsi"/>
                <w:b/>
                <w:bCs/>
                <w:sz w:val="12"/>
                <w:szCs w:val="12"/>
              </w:rPr>
              <w:t xml:space="preserve">Change in </w:t>
            </w:r>
            <w:r w:rsidRPr="00F940FF">
              <w:rPr>
                <w:rFonts w:asciiTheme="minorHAnsi" w:hAnsiTheme="minorHAnsi" w:cstheme="minorHAnsi"/>
                <w:b/>
                <w:bCs/>
                <w:sz w:val="12"/>
                <w:szCs w:val="12"/>
              </w:rPr>
              <w:t>constant currencies</w:t>
            </w:r>
          </w:p>
        </w:tc>
      </w:tr>
      <w:tr w:rsidR="0044035E" w:rsidRPr="00CA4A72" w14:paraId="7DA169E3" w14:textId="77777777" w:rsidTr="006A1A41">
        <w:trPr>
          <w:trHeight w:val="170"/>
        </w:trPr>
        <w:tc>
          <w:tcPr>
            <w:tcW w:w="2975" w:type="dxa"/>
            <w:tcBorders>
              <w:top w:val="single" w:sz="4" w:space="0" w:color="auto"/>
              <w:bottom w:val="nil"/>
              <w:right w:val="single" w:sz="4" w:space="0" w:color="auto"/>
            </w:tcBorders>
            <w:shd w:val="clear" w:color="auto" w:fill="auto"/>
            <w:vAlign w:val="center"/>
            <w:hideMark/>
          </w:tcPr>
          <w:p w14:paraId="76AC4274" w14:textId="77777777" w:rsidR="0044035E" w:rsidRPr="00CA4A72" w:rsidRDefault="0044035E" w:rsidP="006A1A41">
            <w:pPr>
              <w:rPr>
                <w:rFonts w:asciiTheme="minorHAnsi" w:eastAsia="Times New Roman" w:hAnsiTheme="minorHAnsi" w:cstheme="minorHAnsi"/>
                <w:b/>
                <w:bCs/>
                <w:sz w:val="12"/>
                <w:szCs w:val="12"/>
              </w:rPr>
            </w:pPr>
            <w:r w:rsidRPr="00CA4A72">
              <w:rPr>
                <w:rFonts w:asciiTheme="minorHAnsi" w:hAnsiTheme="minorHAnsi" w:cstheme="minorHAnsi"/>
                <w:b/>
                <w:bCs/>
                <w:sz w:val="12"/>
                <w:szCs w:val="12"/>
              </w:rPr>
              <w:t>Revenue</w:t>
            </w:r>
          </w:p>
        </w:tc>
        <w:tc>
          <w:tcPr>
            <w:tcW w:w="907" w:type="dxa"/>
            <w:tcBorders>
              <w:top w:val="single" w:sz="4" w:space="0" w:color="auto"/>
              <w:left w:val="single" w:sz="4" w:space="0" w:color="auto"/>
            </w:tcBorders>
            <w:shd w:val="clear" w:color="000000" w:fill="FFFFFF"/>
            <w:vAlign w:val="center"/>
          </w:tcPr>
          <w:p w14:paraId="497E609D"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color w:val="000000"/>
                <w:sz w:val="12"/>
                <w:szCs w:val="12"/>
              </w:rPr>
              <w:t xml:space="preserve">€ 1,070.6 </w:t>
            </w:r>
          </w:p>
        </w:tc>
        <w:tc>
          <w:tcPr>
            <w:tcW w:w="907" w:type="dxa"/>
            <w:tcBorders>
              <w:top w:val="single" w:sz="4" w:space="0" w:color="auto"/>
              <w:left w:val="nil"/>
              <w:bottom w:val="nil"/>
              <w:right w:val="nil"/>
            </w:tcBorders>
            <w:shd w:val="clear" w:color="000000" w:fill="FFFFFF"/>
            <w:vAlign w:val="center"/>
          </w:tcPr>
          <w:p w14:paraId="104D4646"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sz w:val="12"/>
                <w:szCs w:val="12"/>
              </w:rPr>
              <w:t xml:space="preserve">€ 965.4 </w:t>
            </w:r>
          </w:p>
        </w:tc>
        <w:tc>
          <w:tcPr>
            <w:tcW w:w="752" w:type="dxa"/>
            <w:tcBorders>
              <w:top w:val="single" w:sz="4" w:space="0" w:color="auto"/>
            </w:tcBorders>
            <w:shd w:val="clear" w:color="000000" w:fill="FFFFFF"/>
            <w:vAlign w:val="center"/>
          </w:tcPr>
          <w:p w14:paraId="7F8D99BB"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color w:val="000000"/>
                <w:sz w:val="12"/>
                <w:szCs w:val="12"/>
              </w:rPr>
              <w:t>11%</w:t>
            </w:r>
          </w:p>
        </w:tc>
        <w:tc>
          <w:tcPr>
            <w:tcW w:w="756" w:type="dxa"/>
            <w:tcBorders>
              <w:top w:val="single" w:sz="4" w:space="0" w:color="auto"/>
              <w:right w:val="single" w:sz="4" w:space="0" w:color="auto"/>
            </w:tcBorders>
            <w:shd w:val="clear" w:color="000000" w:fill="FFFFFF"/>
            <w:vAlign w:val="center"/>
          </w:tcPr>
          <w:p w14:paraId="764FA4E0"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color w:val="000000"/>
                <w:sz w:val="12"/>
                <w:szCs w:val="12"/>
              </w:rPr>
              <w:t>10%</w:t>
            </w:r>
          </w:p>
        </w:tc>
        <w:tc>
          <w:tcPr>
            <w:tcW w:w="907" w:type="dxa"/>
            <w:tcBorders>
              <w:top w:val="single" w:sz="4" w:space="0" w:color="auto"/>
              <w:left w:val="single" w:sz="4" w:space="0" w:color="auto"/>
            </w:tcBorders>
            <w:shd w:val="clear" w:color="000000" w:fill="FFFFFF"/>
            <w:vAlign w:val="center"/>
          </w:tcPr>
          <w:p w14:paraId="68750EA6"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color w:val="000000"/>
                <w:sz w:val="12"/>
                <w:szCs w:val="12"/>
              </w:rPr>
              <w:t>€ 2,215.0</w:t>
            </w:r>
          </w:p>
        </w:tc>
        <w:tc>
          <w:tcPr>
            <w:tcW w:w="907" w:type="dxa"/>
            <w:tcBorders>
              <w:top w:val="single" w:sz="4" w:space="0" w:color="auto"/>
              <w:left w:val="nil"/>
              <w:bottom w:val="nil"/>
              <w:right w:val="nil"/>
            </w:tcBorders>
            <w:shd w:val="clear" w:color="000000" w:fill="FFFFFF"/>
            <w:vAlign w:val="center"/>
          </w:tcPr>
          <w:p w14:paraId="6DBFD815"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sz w:val="12"/>
                <w:szCs w:val="12"/>
              </w:rPr>
              <w:t>€ 1,929.4</w:t>
            </w:r>
          </w:p>
        </w:tc>
        <w:tc>
          <w:tcPr>
            <w:tcW w:w="709" w:type="dxa"/>
            <w:tcBorders>
              <w:top w:val="single" w:sz="4" w:space="0" w:color="auto"/>
            </w:tcBorders>
            <w:shd w:val="clear" w:color="000000" w:fill="FFFFFF"/>
            <w:vAlign w:val="center"/>
          </w:tcPr>
          <w:p w14:paraId="73D19F67"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color w:val="000000"/>
                <w:sz w:val="12"/>
                <w:szCs w:val="12"/>
              </w:rPr>
              <w:t>15%</w:t>
            </w:r>
          </w:p>
        </w:tc>
        <w:tc>
          <w:tcPr>
            <w:tcW w:w="819" w:type="dxa"/>
            <w:tcBorders>
              <w:top w:val="single" w:sz="4" w:space="0" w:color="auto"/>
            </w:tcBorders>
            <w:shd w:val="clear" w:color="000000" w:fill="FFFFFF"/>
            <w:vAlign w:val="center"/>
          </w:tcPr>
          <w:p w14:paraId="4BDD2356"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color w:val="000000"/>
                <w:sz w:val="12"/>
                <w:szCs w:val="12"/>
              </w:rPr>
              <w:t>14%</w:t>
            </w:r>
          </w:p>
        </w:tc>
      </w:tr>
      <w:tr w:rsidR="0044035E" w:rsidRPr="00CA4A72" w14:paraId="6CB695B9" w14:textId="77777777" w:rsidTr="006A1A41">
        <w:trPr>
          <w:trHeight w:val="170"/>
        </w:trPr>
        <w:tc>
          <w:tcPr>
            <w:tcW w:w="2975" w:type="dxa"/>
            <w:tcBorders>
              <w:top w:val="nil"/>
              <w:bottom w:val="nil"/>
              <w:right w:val="single" w:sz="4" w:space="0" w:color="auto"/>
            </w:tcBorders>
            <w:shd w:val="clear" w:color="auto" w:fill="auto"/>
            <w:vAlign w:val="center"/>
            <w:hideMark/>
          </w:tcPr>
          <w:p w14:paraId="34682CE4" w14:textId="77777777" w:rsidR="0044035E" w:rsidRPr="00CA4A72" w:rsidRDefault="0044035E" w:rsidP="006A1A41">
            <w:pPr>
              <w:rPr>
                <w:rFonts w:asciiTheme="minorHAnsi" w:eastAsia="Times New Roman" w:hAnsiTheme="minorHAnsi" w:cstheme="minorHAnsi"/>
                <w:b/>
                <w:bCs/>
                <w:sz w:val="12"/>
                <w:szCs w:val="12"/>
              </w:rPr>
            </w:pPr>
            <w:r w:rsidRPr="00CA4A72">
              <w:rPr>
                <w:rFonts w:asciiTheme="minorHAnsi" w:hAnsiTheme="minorHAnsi" w:cstheme="minorHAnsi"/>
                <w:b/>
                <w:bCs/>
                <w:sz w:val="12"/>
                <w:szCs w:val="12"/>
              </w:rPr>
              <w:t> </w:t>
            </w:r>
          </w:p>
        </w:tc>
        <w:tc>
          <w:tcPr>
            <w:tcW w:w="907" w:type="dxa"/>
            <w:tcBorders>
              <w:left w:val="single" w:sz="4" w:space="0" w:color="auto"/>
            </w:tcBorders>
            <w:shd w:val="clear" w:color="000000" w:fill="FFFFFF"/>
            <w:vAlign w:val="center"/>
          </w:tcPr>
          <w:p w14:paraId="1B8EF162"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p>
        </w:tc>
        <w:tc>
          <w:tcPr>
            <w:tcW w:w="907" w:type="dxa"/>
            <w:tcBorders>
              <w:top w:val="nil"/>
              <w:left w:val="nil"/>
              <w:bottom w:val="nil"/>
              <w:right w:val="nil"/>
            </w:tcBorders>
            <w:shd w:val="clear" w:color="000000" w:fill="FFFFFF"/>
            <w:vAlign w:val="center"/>
          </w:tcPr>
          <w:p w14:paraId="55CF0C2D"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sz w:val="12"/>
                <w:szCs w:val="12"/>
              </w:rPr>
              <w:t> </w:t>
            </w:r>
          </w:p>
        </w:tc>
        <w:tc>
          <w:tcPr>
            <w:tcW w:w="752" w:type="dxa"/>
            <w:shd w:val="clear" w:color="000000" w:fill="FFFFFF"/>
            <w:vAlign w:val="center"/>
          </w:tcPr>
          <w:p w14:paraId="0312F072"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p>
        </w:tc>
        <w:tc>
          <w:tcPr>
            <w:tcW w:w="756" w:type="dxa"/>
            <w:tcBorders>
              <w:right w:val="single" w:sz="4" w:space="0" w:color="auto"/>
            </w:tcBorders>
            <w:shd w:val="clear" w:color="000000" w:fill="FFFFFF"/>
            <w:vAlign w:val="center"/>
          </w:tcPr>
          <w:p w14:paraId="089EED94"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p>
        </w:tc>
        <w:tc>
          <w:tcPr>
            <w:tcW w:w="907" w:type="dxa"/>
            <w:tcBorders>
              <w:left w:val="single" w:sz="4" w:space="0" w:color="auto"/>
            </w:tcBorders>
            <w:shd w:val="clear" w:color="000000" w:fill="FFFFFF"/>
            <w:vAlign w:val="center"/>
          </w:tcPr>
          <w:p w14:paraId="540D0808"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p>
        </w:tc>
        <w:tc>
          <w:tcPr>
            <w:tcW w:w="907" w:type="dxa"/>
            <w:tcBorders>
              <w:top w:val="nil"/>
              <w:left w:val="nil"/>
              <w:bottom w:val="nil"/>
              <w:right w:val="nil"/>
            </w:tcBorders>
            <w:shd w:val="clear" w:color="000000" w:fill="FFFFFF"/>
            <w:vAlign w:val="center"/>
          </w:tcPr>
          <w:p w14:paraId="12F9ED65"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sz w:val="12"/>
                <w:szCs w:val="12"/>
              </w:rPr>
              <w:t> </w:t>
            </w:r>
          </w:p>
        </w:tc>
        <w:tc>
          <w:tcPr>
            <w:tcW w:w="709" w:type="dxa"/>
            <w:shd w:val="clear" w:color="000000" w:fill="FFFFFF"/>
            <w:vAlign w:val="center"/>
          </w:tcPr>
          <w:p w14:paraId="191505B9" w14:textId="77777777" w:rsidR="0044035E" w:rsidRPr="00A455FD" w:rsidRDefault="0044035E" w:rsidP="006A1A41">
            <w:pPr>
              <w:jc w:val="right"/>
              <w:rPr>
                <w:rFonts w:asciiTheme="minorHAnsi" w:eastAsia="Times New Roman" w:hAnsiTheme="minorHAnsi" w:cstheme="minorHAnsi"/>
                <w:b/>
                <w:bCs/>
                <w:sz w:val="12"/>
                <w:szCs w:val="12"/>
              </w:rPr>
            </w:pPr>
          </w:p>
        </w:tc>
        <w:tc>
          <w:tcPr>
            <w:tcW w:w="819" w:type="dxa"/>
            <w:shd w:val="clear" w:color="000000" w:fill="FFFFFF"/>
            <w:vAlign w:val="center"/>
          </w:tcPr>
          <w:p w14:paraId="56894F5D"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p>
        </w:tc>
      </w:tr>
      <w:tr w:rsidR="0044035E" w:rsidRPr="00CA4A72" w14:paraId="6F56A750" w14:textId="77777777" w:rsidTr="006A1A41">
        <w:trPr>
          <w:trHeight w:val="170"/>
        </w:trPr>
        <w:tc>
          <w:tcPr>
            <w:tcW w:w="2975" w:type="dxa"/>
            <w:tcBorders>
              <w:top w:val="nil"/>
              <w:bottom w:val="nil"/>
              <w:right w:val="single" w:sz="4" w:space="0" w:color="auto"/>
            </w:tcBorders>
            <w:shd w:val="clear" w:color="auto" w:fill="auto"/>
            <w:vAlign w:val="center"/>
            <w:hideMark/>
          </w:tcPr>
          <w:p w14:paraId="339ACC79" w14:textId="77777777" w:rsidR="0044035E" w:rsidRPr="00CA4A72" w:rsidRDefault="0044035E" w:rsidP="006A1A41">
            <w:pPr>
              <w:rPr>
                <w:rFonts w:asciiTheme="minorHAnsi" w:eastAsia="Times New Roman" w:hAnsiTheme="minorHAnsi" w:cstheme="minorHAnsi"/>
                <w:b/>
                <w:bCs/>
                <w:sz w:val="12"/>
                <w:szCs w:val="12"/>
              </w:rPr>
            </w:pPr>
            <w:r w:rsidRPr="00CA4A72">
              <w:rPr>
                <w:rFonts w:asciiTheme="minorHAnsi" w:hAnsiTheme="minorHAnsi" w:cstheme="minorHAnsi"/>
                <w:b/>
                <w:bCs/>
                <w:sz w:val="12"/>
                <w:szCs w:val="12"/>
              </w:rPr>
              <w:t>Revenue breakdown by activity</w:t>
            </w:r>
          </w:p>
        </w:tc>
        <w:tc>
          <w:tcPr>
            <w:tcW w:w="907" w:type="dxa"/>
            <w:tcBorders>
              <w:left w:val="single" w:sz="4" w:space="0" w:color="auto"/>
            </w:tcBorders>
            <w:shd w:val="clear" w:color="000000" w:fill="FFFFFF"/>
            <w:vAlign w:val="center"/>
          </w:tcPr>
          <w:p w14:paraId="54A317F2"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p>
        </w:tc>
        <w:tc>
          <w:tcPr>
            <w:tcW w:w="907" w:type="dxa"/>
            <w:tcBorders>
              <w:top w:val="nil"/>
              <w:left w:val="nil"/>
              <w:bottom w:val="nil"/>
              <w:right w:val="nil"/>
            </w:tcBorders>
            <w:shd w:val="clear" w:color="000000" w:fill="FFFFFF"/>
            <w:vAlign w:val="center"/>
          </w:tcPr>
          <w:p w14:paraId="0FDA7E87"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sz w:val="12"/>
                <w:szCs w:val="12"/>
              </w:rPr>
              <w:t> </w:t>
            </w:r>
          </w:p>
        </w:tc>
        <w:tc>
          <w:tcPr>
            <w:tcW w:w="752" w:type="dxa"/>
            <w:shd w:val="clear" w:color="000000" w:fill="FFFFFF"/>
            <w:vAlign w:val="center"/>
          </w:tcPr>
          <w:p w14:paraId="4C34ABD4"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p>
        </w:tc>
        <w:tc>
          <w:tcPr>
            <w:tcW w:w="756" w:type="dxa"/>
            <w:tcBorders>
              <w:right w:val="single" w:sz="4" w:space="0" w:color="auto"/>
            </w:tcBorders>
            <w:shd w:val="clear" w:color="000000" w:fill="FFFFFF"/>
            <w:vAlign w:val="center"/>
          </w:tcPr>
          <w:p w14:paraId="1BB0B2FE"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p>
        </w:tc>
        <w:tc>
          <w:tcPr>
            <w:tcW w:w="907" w:type="dxa"/>
            <w:tcBorders>
              <w:left w:val="single" w:sz="4" w:space="0" w:color="auto"/>
            </w:tcBorders>
            <w:shd w:val="clear" w:color="000000" w:fill="FFFFFF"/>
            <w:vAlign w:val="center"/>
          </w:tcPr>
          <w:p w14:paraId="64CF7EFB"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p>
        </w:tc>
        <w:tc>
          <w:tcPr>
            <w:tcW w:w="907" w:type="dxa"/>
            <w:tcBorders>
              <w:top w:val="nil"/>
              <w:left w:val="nil"/>
              <w:bottom w:val="nil"/>
              <w:right w:val="nil"/>
            </w:tcBorders>
            <w:shd w:val="clear" w:color="000000" w:fill="FFFFFF"/>
            <w:vAlign w:val="center"/>
          </w:tcPr>
          <w:p w14:paraId="074752AE"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sz w:val="12"/>
                <w:szCs w:val="12"/>
              </w:rPr>
              <w:t> </w:t>
            </w:r>
          </w:p>
        </w:tc>
        <w:tc>
          <w:tcPr>
            <w:tcW w:w="709" w:type="dxa"/>
            <w:shd w:val="clear" w:color="000000" w:fill="FFFFFF"/>
            <w:vAlign w:val="center"/>
          </w:tcPr>
          <w:p w14:paraId="563B9B7A" w14:textId="77777777" w:rsidR="0044035E" w:rsidRPr="00A455FD" w:rsidRDefault="0044035E" w:rsidP="006A1A41">
            <w:pPr>
              <w:jc w:val="right"/>
              <w:rPr>
                <w:rFonts w:asciiTheme="minorHAnsi" w:eastAsia="Times New Roman" w:hAnsiTheme="minorHAnsi" w:cstheme="minorHAnsi"/>
                <w:sz w:val="12"/>
                <w:szCs w:val="12"/>
              </w:rPr>
            </w:pPr>
          </w:p>
        </w:tc>
        <w:tc>
          <w:tcPr>
            <w:tcW w:w="819" w:type="dxa"/>
            <w:shd w:val="clear" w:color="000000" w:fill="FFFFFF"/>
            <w:vAlign w:val="center"/>
          </w:tcPr>
          <w:p w14:paraId="47C86EFC"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p>
        </w:tc>
      </w:tr>
      <w:tr w:rsidR="0044035E" w:rsidRPr="00CA4A72" w14:paraId="382F3314" w14:textId="77777777" w:rsidTr="006A1A41">
        <w:trPr>
          <w:trHeight w:val="170"/>
        </w:trPr>
        <w:tc>
          <w:tcPr>
            <w:tcW w:w="2975" w:type="dxa"/>
            <w:tcBorders>
              <w:top w:val="nil"/>
              <w:bottom w:val="nil"/>
              <w:right w:val="single" w:sz="4" w:space="0" w:color="auto"/>
            </w:tcBorders>
            <w:shd w:val="clear" w:color="auto" w:fill="auto"/>
            <w:vAlign w:val="center"/>
            <w:hideMark/>
          </w:tcPr>
          <w:p w14:paraId="6A5DAC3C" w14:textId="77777777" w:rsidR="0044035E" w:rsidRPr="00CA4A72" w:rsidRDefault="0044035E" w:rsidP="006A1A41">
            <w:pPr>
              <w:rPr>
                <w:rFonts w:asciiTheme="minorHAnsi" w:eastAsia="Times New Roman" w:hAnsiTheme="minorHAnsi" w:cstheme="minorHAnsi"/>
                <w:sz w:val="12"/>
                <w:szCs w:val="12"/>
              </w:rPr>
            </w:pPr>
            <w:r w:rsidRPr="00CA4A72">
              <w:rPr>
                <w:rFonts w:asciiTheme="minorHAnsi" w:hAnsiTheme="minorHAnsi" w:cstheme="minorHAnsi"/>
                <w:sz w:val="12"/>
                <w:szCs w:val="12"/>
              </w:rPr>
              <w:t>Software revenue</w:t>
            </w:r>
          </w:p>
        </w:tc>
        <w:tc>
          <w:tcPr>
            <w:tcW w:w="907" w:type="dxa"/>
            <w:tcBorders>
              <w:left w:val="single" w:sz="4" w:space="0" w:color="auto"/>
            </w:tcBorders>
            <w:shd w:val="clear" w:color="000000" w:fill="FFFFFF"/>
            <w:vAlign w:val="center"/>
          </w:tcPr>
          <w:p w14:paraId="26A56386"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960.5</w:t>
            </w:r>
          </w:p>
        </w:tc>
        <w:tc>
          <w:tcPr>
            <w:tcW w:w="907" w:type="dxa"/>
            <w:tcBorders>
              <w:top w:val="nil"/>
              <w:left w:val="nil"/>
              <w:bottom w:val="nil"/>
              <w:right w:val="nil"/>
            </w:tcBorders>
            <w:shd w:val="clear" w:color="000000" w:fill="FFFFFF"/>
            <w:vAlign w:val="center"/>
          </w:tcPr>
          <w:p w14:paraId="31E7CA79"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sz w:val="12"/>
                <w:szCs w:val="12"/>
              </w:rPr>
              <w:t>851.0</w:t>
            </w:r>
          </w:p>
        </w:tc>
        <w:tc>
          <w:tcPr>
            <w:tcW w:w="752" w:type="dxa"/>
            <w:shd w:val="clear" w:color="000000" w:fill="FFFFFF"/>
            <w:vAlign w:val="center"/>
          </w:tcPr>
          <w:p w14:paraId="244F3FAD"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13%</w:t>
            </w:r>
          </w:p>
        </w:tc>
        <w:tc>
          <w:tcPr>
            <w:tcW w:w="756" w:type="dxa"/>
            <w:tcBorders>
              <w:right w:val="single" w:sz="4" w:space="0" w:color="auto"/>
            </w:tcBorders>
            <w:shd w:val="clear" w:color="000000" w:fill="FFFFFF"/>
            <w:vAlign w:val="center"/>
          </w:tcPr>
          <w:p w14:paraId="0F4AA0C6"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12%</w:t>
            </w:r>
          </w:p>
        </w:tc>
        <w:tc>
          <w:tcPr>
            <w:tcW w:w="907" w:type="dxa"/>
            <w:tcBorders>
              <w:left w:val="single" w:sz="4" w:space="0" w:color="auto"/>
            </w:tcBorders>
            <w:shd w:val="clear" w:color="000000" w:fill="FFFFFF"/>
            <w:vAlign w:val="center"/>
          </w:tcPr>
          <w:p w14:paraId="3D068600"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1,983.5</w:t>
            </w:r>
          </w:p>
        </w:tc>
        <w:tc>
          <w:tcPr>
            <w:tcW w:w="907" w:type="dxa"/>
            <w:tcBorders>
              <w:top w:val="nil"/>
              <w:left w:val="nil"/>
              <w:bottom w:val="nil"/>
              <w:right w:val="nil"/>
            </w:tcBorders>
            <w:shd w:val="clear" w:color="000000" w:fill="FFFFFF"/>
            <w:vAlign w:val="center"/>
          </w:tcPr>
          <w:p w14:paraId="3E4F7F13"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sz w:val="12"/>
                <w:szCs w:val="12"/>
              </w:rPr>
              <w:t>1,710.5</w:t>
            </w:r>
          </w:p>
        </w:tc>
        <w:tc>
          <w:tcPr>
            <w:tcW w:w="709" w:type="dxa"/>
            <w:shd w:val="clear" w:color="000000" w:fill="FFFFFF"/>
            <w:vAlign w:val="center"/>
          </w:tcPr>
          <w:p w14:paraId="0ACAC3E9"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16%</w:t>
            </w:r>
          </w:p>
        </w:tc>
        <w:tc>
          <w:tcPr>
            <w:tcW w:w="819" w:type="dxa"/>
            <w:shd w:val="clear" w:color="000000" w:fill="FFFFFF"/>
            <w:vAlign w:val="center"/>
          </w:tcPr>
          <w:p w14:paraId="1FCA8A7A"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15%</w:t>
            </w:r>
          </w:p>
        </w:tc>
      </w:tr>
      <w:tr w:rsidR="0044035E" w:rsidRPr="00CA4A72" w14:paraId="2355E541" w14:textId="77777777" w:rsidTr="006A1A41">
        <w:trPr>
          <w:trHeight w:val="170"/>
        </w:trPr>
        <w:tc>
          <w:tcPr>
            <w:tcW w:w="2975" w:type="dxa"/>
            <w:tcBorders>
              <w:top w:val="nil"/>
              <w:bottom w:val="nil"/>
              <w:right w:val="single" w:sz="4" w:space="0" w:color="auto"/>
            </w:tcBorders>
            <w:shd w:val="clear" w:color="auto" w:fill="auto"/>
            <w:vAlign w:val="center"/>
            <w:hideMark/>
          </w:tcPr>
          <w:p w14:paraId="05C7480E" w14:textId="77777777" w:rsidR="0044035E" w:rsidRPr="00CA4A72" w:rsidRDefault="0044035E" w:rsidP="006A1A41">
            <w:pPr>
              <w:ind w:firstLineChars="100" w:firstLine="120"/>
              <w:rPr>
                <w:rFonts w:asciiTheme="minorHAnsi" w:eastAsia="Times New Roman" w:hAnsiTheme="minorHAnsi" w:cstheme="minorHAnsi"/>
                <w:i/>
                <w:iCs/>
                <w:sz w:val="12"/>
                <w:szCs w:val="12"/>
              </w:rPr>
            </w:pPr>
            <w:r>
              <w:rPr>
                <w:rFonts w:asciiTheme="minorHAnsi" w:hAnsiTheme="minorHAnsi" w:cstheme="minorHAnsi"/>
                <w:i/>
                <w:iCs/>
                <w:sz w:val="12"/>
                <w:szCs w:val="12"/>
              </w:rPr>
              <w:t>O</w:t>
            </w:r>
            <w:r w:rsidRPr="00CA4A72">
              <w:rPr>
                <w:rFonts w:asciiTheme="minorHAnsi" w:hAnsiTheme="minorHAnsi" w:cstheme="minorHAnsi"/>
                <w:i/>
                <w:iCs/>
                <w:sz w:val="12"/>
                <w:szCs w:val="12"/>
              </w:rPr>
              <w:t>f which licenses and other software revenue</w:t>
            </w:r>
          </w:p>
        </w:tc>
        <w:tc>
          <w:tcPr>
            <w:tcW w:w="907" w:type="dxa"/>
            <w:tcBorders>
              <w:left w:val="single" w:sz="4" w:space="0" w:color="auto"/>
            </w:tcBorders>
            <w:shd w:val="clear" w:color="000000" w:fill="FFFFFF"/>
            <w:vAlign w:val="center"/>
          </w:tcPr>
          <w:p w14:paraId="492406FE" w14:textId="77777777" w:rsidR="0044035E" w:rsidRPr="00A455FD" w:rsidRDefault="0044035E" w:rsidP="006A1A41">
            <w:pPr>
              <w:ind w:firstLineChars="100" w:firstLine="120"/>
              <w:jc w:val="right"/>
              <w:rPr>
                <w:rFonts w:asciiTheme="minorHAnsi" w:eastAsia="Times New Roman" w:hAnsiTheme="minorHAnsi" w:cstheme="minorHAnsi"/>
                <w:i/>
                <w:iCs/>
                <w:sz w:val="12"/>
                <w:szCs w:val="12"/>
              </w:rPr>
            </w:pPr>
            <w:r w:rsidRPr="00A455FD">
              <w:rPr>
                <w:rFonts w:asciiTheme="minorHAnsi" w:hAnsiTheme="minorHAnsi" w:cstheme="minorHAnsi"/>
                <w:i/>
                <w:iCs/>
                <w:color w:val="000000"/>
                <w:sz w:val="12"/>
                <w:szCs w:val="12"/>
              </w:rPr>
              <w:t>169.3</w:t>
            </w:r>
          </w:p>
        </w:tc>
        <w:tc>
          <w:tcPr>
            <w:tcW w:w="907" w:type="dxa"/>
            <w:tcBorders>
              <w:top w:val="nil"/>
              <w:left w:val="nil"/>
              <w:bottom w:val="nil"/>
              <w:right w:val="nil"/>
            </w:tcBorders>
            <w:shd w:val="clear" w:color="000000" w:fill="FFFFFF"/>
            <w:vAlign w:val="center"/>
          </w:tcPr>
          <w:p w14:paraId="062D2A2D" w14:textId="77777777" w:rsidR="0044035E" w:rsidRPr="00A455FD" w:rsidRDefault="0044035E" w:rsidP="006A1A41">
            <w:pPr>
              <w:ind w:firstLineChars="100" w:firstLine="120"/>
              <w:jc w:val="right"/>
              <w:rPr>
                <w:rFonts w:asciiTheme="minorHAnsi" w:eastAsia="Times New Roman" w:hAnsiTheme="minorHAnsi" w:cstheme="minorHAnsi"/>
                <w:i/>
                <w:iCs/>
                <w:sz w:val="12"/>
                <w:szCs w:val="12"/>
              </w:rPr>
            </w:pPr>
            <w:r w:rsidRPr="00A455FD">
              <w:rPr>
                <w:rFonts w:asciiTheme="minorHAnsi" w:hAnsiTheme="minorHAnsi" w:cstheme="minorHAnsi"/>
                <w:i/>
                <w:iCs/>
                <w:sz w:val="12"/>
                <w:szCs w:val="12"/>
              </w:rPr>
              <w:t>248.5</w:t>
            </w:r>
          </w:p>
        </w:tc>
        <w:tc>
          <w:tcPr>
            <w:tcW w:w="752" w:type="dxa"/>
            <w:shd w:val="clear" w:color="000000" w:fill="FFFFFF"/>
            <w:vAlign w:val="center"/>
          </w:tcPr>
          <w:p w14:paraId="0DB7A30B" w14:textId="77777777" w:rsidR="0044035E" w:rsidRPr="00A455FD" w:rsidRDefault="0044035E" w:rsidP="006A1A41">
            <w:pPr>
              <w:ind w:firstLineChars="100" w:firstLine="120"/>
              <w:jc w:val="right"/>
              <w:rPr>
                <w:rFonts w:asciiTheme="minorHAnsi" w:eastAsia="Times New Roman" w:hAnsiTheme="minorHAnsi" w:cstheme="minorHAnsi"/>
                <w:i/>
                <w:iCs/>
                <w:sz w:val="12"/>
                <w:szCs w:val="12"/>
              </w:rPr>
            </w:pPr>
            <w:r w:rsidRPr="00A455FD">
              <w:rPr>
                <w:rFonts w:asciiTheme="minorHAnsi" w:hAnsiTheme="minorHAnsi" w:cstheme="minorHAnsi"/>
                <w:i/>
                <w:iCs/>
                <w:color w:val="000000"/>
                <w:sz w:val="12"/>
                <w:szCs w:val="12"/>
              </w:rPr>
              <w:t>(32)%</w:t>
            </w:r>
          </w:p>
        </w:tc>
        <w:tc>
          <w:tcPr>
            <w:tcW w:w="756" w:type="dxa"/>
            <w:tcBorders>
              <w:right w:val="single" w:sz="4" w:space="0" w:color="auto"/>
            </w:tcBorders>
            <w:shd w:val="clear" w:color="000000" w:fill="FFFFFF"/>
            <w:vAlign w:val="center"/>
          </w:tcPr>
          <w:p w14:paraId="58F6944B" w14:textId="77777777" w:rsidR="0044035E" w:rsidRPr="00A455FD" w:rsidRDefault="0044035E" w:rsidP="006A1A41">
            <w:pPr>
              <w:ind w:firstLineChars="100" w:firstLine="120"/>
              <w:jc w:val="right"/>
              <w:rPr>
                <w:rFonts w:asciiTheme="minorHAnsi" w:eastAsia="Times New Roman" w:hAnsiTheme="minorHAnsi" w:cstheme="minorHAnsi"/>
                <w:i/>
                <w:iCs/>
                <w:sz w:val="12"/>
                <w:szCs w:val="12"/>
              </w:rPr>
            </w:pPr>
            <w:r w:rsidRPr="00A455FD">
              <w:rPr>
                <w:rFonts w:asciiTheme="minorHAnsi" w:hAnsiTheme="minorHAnsi" w:cstheme="minorHAnsi"/>
                <w:i/>
                <w:iCs/>
                <w:color w:val="000000"/>
                <w:sz w:val="12"/>
                <w:szCs w:val="12"/>
              </w:rPr>
              <w:t>(32)%</w:t>
            </w:r>
          </w:p>
        </w:tc>
        <w:tc>
          <w:tcPr>
            <w:tcW w:w="907" w:type="dxa"/>
            <w:tcBorders>
              <w:left w:val="single" w:sz="4" w:space="0" w:color="auto"/>
            </w:tcBorders>
            <w:shd w:val="clear" w:color="000000" w:fill="FFFFFF"/>
            <w:vAlign w:val="center"/>
          </w:tcPr>
          <w:p w14:paraId="06A3DD09" w14:textId="77777777" w:rsidR="0044035E" w:rsidRPr="00A455FD" w:rsidRDefault="0044035E" w:rsidP="006A1A41">
            <w:pPr>
              <w:ind w:firstLineChars="100" w:firstLine="120"/>
              <w:jc w:val="right"/>
              <w:rPr>
                <w:rFonts w:asciiTheme="minorHAnsi" w:eastAsia="Times New Roman" w:hAnsiTheme="minorHAnsi" w:cstheme="minorHAnsi"/>
                <w:i/>
                <w:iCs/>
                <w:sz w:val="12"/>
                <w:szCs w:val="12"/>
              </w:rPr>
            </w:pPr>
            <w:r w:rsidRPr="00A455FD">
              <w:rPr>
                <w:rFonts w:asciiTheme="minorHAnsi" w:hAnsiTheme="minorHAnsi" w:cstheme="minorHAnsi"/>
                <w:i/>
                <w:iCs/>
                <w:color w:val="000000"/>
                <w:sz w:val="12"/>
                <w:szCs w:val="12"/>
              </w:rPr>
              <w:t>341.5</w:t>
            </w:r>
          </w:p>
        </w:tc>
        <w:tc>
          <w:tcPr>
            <w:tcW w:w="907" w:type="dxa"/>
            <w:tcBorders>
              <w:top w:val="nil"/>
              <w:left w:val="nil"/>
              <w:bottom w:val="nil"/>
              <w:right w:val="nil"/>
            </w:tcBorders>
            <w:shd w:val="clear" w:color="000000" w:fill="FFFFFF"/>
            <w:vAlign w:val="center"/>
          </w:tcPr>
          <w:p w14:paraId="5763694D"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i/>
                <w:iCs/>
                <w:sz w:val="12"/>
                <w:szCs w:val="12"/>
              </w:rPr>
              <w:t>461.8</w:t>
            </w:r>
          </w:p>
        </w:tc>
        <w:tc>
          <w:tcPr>
            <w:tcW w:w="709" w:type="dxa"/>
            <w:shd w:val="clear" w:color="000000" w:fill="FFFFFF"/>
            <w:vAlign w:val="center"/>
          </w:tcPr>
          <w:p w14:paraId="1BCB904F" w14:textId="77777777" w:rsidR="0044035E" w:rsidRPr="00A455FD" w:rsidRDefault="0044035E" w:rsidP="006A1A41">
            <w:pPr>
              <w:ind w:firstLineChars="100" w:firstLine="120"/>
              <w:jc w:val="right"/>
              <w:rPr>
                <w:rFonts w:asciiTheme="minorHAnsi" w:eastAsia="Times New Roman" w:hAnsiTheme="minorHAnsi" w:cstheme="minorHAnsi"/>
                <w:i/>
                <w:iCs/>
                <w:sz w:val="12"/>
                <w:szCs w:val="12"/>
              </w:rPr>
            </w:pPr>
            <w:r w:rsidRPr="00A455FD">
              <w:rPr>
                <w:rFonts w:asciiTheme="minorHAnsi" w:hAnsiTheme="minorHAnsi" w:cstheme="minorHAnsi"/>
                <w:i/>
                <w:iCs/>
                <w:color w:val="000000"/>
                <w:sz w:val="12"/>
                <w:szCs w:val="12"/>
              </w:rPr>
              <w:t>(26)%</w:t>
            </w:r>
          </w:p>
        </w:tc>
        <w:tc>
          <w:tcPr>
            <w:tcW w:w="819" w:type="dxa"/>
            <w:shd w:val="clear" w:color="000000" w:fill="FFFFFF"/>
            <w:vAlign w:val="center"/>
          </w:tcPr>
          <w:p w14:paraId="6B6BD84D" w14:textId="77777777" w:rsidR="0044035E" w:rsidRPr="00A455FD" w:rsidRDefault="0044035E" w:rsidP="006A1A41">
            <w:pPr>
              <w:ind w:firstLineChars="100" w:firstLine="120"/>
              <w:jc w:val="right"/>
              <w:rPr>
                <w:rFonts w:asciiTheme="minorHAnsi" w:eastAsia="Times New Roman" w:hAnsiTheme="minorHAnsi" w:cstheme="minorHAnsi"/>
                <w:i/>
                <w:iCs/>
                <w:sz w:val="12"/>
                <w:szCs w:val="12"/>
              </w:rPr>
            </w:pPr>
            <w:r w:rsidRPr="00A455FD">
              <w:rPr>
                <w:rFonts w:asciiTheme="minorHAnsi" w:hAnsiTheme="minorHAnsi" w:cstheme="minorHAnsi"/>
                <w:i/>
                <w:iCs/>
                <w:color w:val="000000"/>
                <w:sz w:val="12"/>
                <w:szCs w:val="12"/>
              </w:rPr>
              <w:t>(27)%</w:t>
            </w:r>
          </w:p>
        </w:tc>
      </w:tr>
      <w:tr w:rsidR="0044035E" w:rsidRPr="00CA4A72" w14:paraId="1C598CAF" w14:textId="77777777" w:rsidTr="006A1A41">
        <w:trPr>
          <w:trHeight w:val="170"/>
        </w:trPr>
        <w:tc>
          <w:tcPr>
            <w:tcW w:w="2975" w:type="dxa"/>
            <w:tcBorders>
              <w:top w:val="nil"/>
              <w:bottom w:val="nil"/>
              <w:right w:val="single" w:sz="4" w:space="0" w:color="auto"/>
            </w:tcBorders>
            <w:shd w:val="clear" w:color="auto" w:fill="auto"/>
            <w:vAlign w:val="center"/>
            <w:hideMark/>
          </w:tcPr>
          <w:p w14:paraId="3148BC04" w14:textId="77777777" w:rsidR="0044035E" w:rsidRPr="00CA4A72" w:rsidRDefault="0044035E" w:rsidP="006A1A41">
            <w:pPr>
              <w:ind w:firstLineChars="100" w:firstLine="120"/>
              <w:rPr>
                <w:rFonts w:asciiTheme="minorHAnsi" w:eastAsia="Times New Roman" w:hAnsiTheme="minorHAnsi" w:cstheme="minorHAnsi"/>
                <w:i/>
                <w:iCs/>
                <w:sz w:val="12"/>
                <w:szCs w:val="12"/>
              </w:rPr>
            </w:pPr>
            <w:r>
              <w:rPr>
                <w:rFonts w:asciiTheme="minorHAnsi" w:hAnsiTheme="minorHAnsi" w:cstheme="minorHAnsi"/>
                <w:i/>
                <w:iCs/>
                <w:sz w:val="12"/>
                <w:szCs w:val="12"/>
              </w:rPr>
              <w:t>O</w:t>
            </w:r>
            <w:r w:rsidRPr="00CA4A72">
              <w:rPr>
                <w:rFonts w:asciiTheme="minorHAnsi" w:hAnsiTheme="minorHAnsi" w:cstheme="minorHAnsi"/>
                <w:i/>
                <w:iCs/>
                <w:sz w:val="12"/>
                <w:szCs w:val="12"/>
              </w:rPr>
              <w:t>f which subscription and support revenue</w:t>
            </w:r>
          </w:p>
        </w:tc>
        <w:tc>
          <w:tcPr>
            <w:tcW w:w="907" w:type="dxa"/>
            <w:tcBorders>
              <w:left w:val="single" w:sz="4" w:space="0" w:color="auto"/>
            </w:tcBorders>
            <w:shd w:val="clear" w:color="000000" w:fill="FFFFFF"/>
            <w:vAlign w:val="center"/>
          </w:tcPr>
          <w:p w14:paraId="4E61B148" w14:textId="77777777" w:rsidR="0044035E" w:rsidRPr="00A455FD" w:rsidRDefault="0044035E" w:rsidP="006A1A41">
            <w:pPr>
              <w:ind w:firstLineChars="100" w:firstLine="120"/>
              <w:jc w:val="right"/>
              <w:rPr>
                <w:rFonts w:asciiTheme="minorHAnsi" w:eastAsia="Times New Roman" w:hAnsiTheme="minorHAnsi" w:cstheme="minorHAnsi"/>
                <w:i/>
                <w:iCs/>
                <w:sz w:val="12"/>
                <w:szCs w:val="12"/>
              </w:rPr>
            </w:pPr>
            <w:r w:rsidRPr="00A455FD">
              <w:rPr>
                <w:rFonts w:asciiTheme="minorHAnsi" w:hAnsiTheme="minorHAnsi" w:cstheme="minorHAnsi"/>
                <w:i/>
                <w:iCs/>
                <w:color w:val="000000"/>
                <w:sz w:val="12"/>
                <w:szCs w:val="12"/>
              </w:rPr>
              <w:t>791.2</w:t>
            </w:r>
          </w:p>
        </w:tc>
        <w:tc>
          <w:tcPr>
            <w:tcW w:w="907" w:type="dxa"/>
            <w:tcBorders>
              <w:top w:val="nil"/>
              <w:left w:val="nil"/>
              <w:bottom w:val="nil"/>
              <w:right w:val="nil"/>
            </w:tcBorders>
            <w:shd w:val="clear" w:color="000000" w:fill="FFFFFF"/>
            <w:vAlign w:val="center"/>
          </w:tcPr>
          <w:p w14:paraId="14DAEA1B" w14:textId="77777777" w:rsidR="0044035E" w:rsidRPr="00A455FD" w:rsidRDefault="0044035E" w:rsidP="006A1A41">
            <w:pPr>
              <w:ind w:firstLineChars="100" w:firstLine="120"/>
              <w:jc w:val="right"/>
              <w:rPr>
                <w:rFonts w:asciiTheme="minorHAnsi" w:eastAsia="Times New Roman" w:hAnsiTheme="minorHAnsi" w:cstheme="minorHAnsi"/>
                <w:i/>
                <w:iCs/>
                <w:sz w:val="12"/>
                <w:szCs w:val="12"/>
              </w:rPr>
            </w:pPr>
            <w:r w:rsidRPr="00A455FD">
              <w:rPr>
                <w:rFonts w:asciiTheme="minorHAnsi" w:hAnsiTheme="minorHAnsi" w:cstheme="minorHAnsi"/>
                <w:i/>
                <w:iCs/>
                <w:sz w:val="12"/>
                <w:szCs w:val="12"/>
              </w:rPr>
              <w:t>602.5</w:t>
            </w:r>
          </w:p>
        </w:tc>
        <w:tc>
          <w:tcPr>
            <w:tcW w:w="752" w:type="dxa"/>
            <w:shd w:val="clear" w:color="000000" w:fill="FFFFFF"/>
            <w:vAlign w:val="center"/>
          </w:tcPr>
          <w:p w14:paraId="2D53C435" w14:textId="77777777" w:rsidR="0044035E" w:rsidRPr="00A455FD" w:rsidRDefault="0044035E" w:rsidP="006A1A41">
            <w:pPr>
              <w:ind w:firstLineChars="100" w:firstLine="120"/>
              <w:jc w:val="right"/>
              <w:rPr>
                <w:rFonts w:asciiTheme="minorHAnsi" w:eastAsia="Times New Roman" w:hAnsiTheme="minorHAnsi" w:cstheme="minorHAnsi"/>
                <w:i/>
                <w:iCs/>
                <w:sz w:val="12"/>
                <w:szCs w:val="12"/>
              </w:rPr>
            </w:pPr>
            <w:r w:rsidRPr="00A455FD">
              <w:rPr>
                <w:rFonts w:asciiTheme="minorHAnsi" w:hAnsiTheme="minorHAnsi" w:cstheme="minorHAnsi"/>
                <w:i/>
                <w:iCs/>
                <w:color w:val="000000"/>
                <w:sz w:val="12"/>
                <w:szCs w:val="12"/>
              </w:rPr>
              <w:t>31%</w:t>
            </w:r>
          </w:p>
        </w:tc>
        <w:tc>
          <w:tcPr>
            <w:tcW w:w="756" w:type="dxa"/>
            <w:tcBorders>
              <w:right w:val="single" w:sz="4" w:space="0" w:color="auto"/>
            </w:tcBorders>
            <w:shd w:val="clear" w:color="000000" w:fill="FFFFFF"/>
            <w:vAlign w:val="center"/>
          </w:tcPr>
          <w:p w14:paraId="019AFA27" w14:textId="77777777" w:rsidR="0044035E" w:rsidRPr="00A455FD" w:rsidRDefault="0044035E" w:rsidP="006A1A41">
            <w:pPr>
              <w:ind w:firstLineChars="100" w:firstLine="120"/>
              <w:jc w:val="right"/>
              <w:rPr>
                <w:rFonts w:asciiTheme="minorHAnsi" w:eastAsia="Times New Roman" w:hAnsiTheme="minorHAnsi" w:cstheme="minorHAnsi"/>
                <w:i/>
                <w:iCs/>
                <w:sz w:val="12"/>
                <w:szCs w:val="12"/>
              </w:rPr>
            </w:pPr>
            <w:r w:rsidRPr="00A455FD">
              <w:rPr>
                <w:rFonts w:asciiTheme="minorHAnsi" w:hAnsiTheme="minorHAnsi" w:cstheme="minorHAnsi"/>
                <w:i/>
                <w:iCs/>
                <w:color w:val="000000"/>
                <w:sz w:val="12"/>
                <w:szCs w:val="12"/>
              </w:rPr>
              <w:t>30%</w:t>
            </w:r>
          </w:p>
        </w:tc>
        <w:tc>
          <w:tcPr>
            <w:tcW w:w="907" w:type="dxa"/>
            <w:tcBorders>
              <w:left w:val="single" w:sz="4" w:space="0" w:color="auto"/>
            </w:tcBorders>
            <w:shd w:val="clear" w:color="000000" w:fill="FFFFFF"/>
            <w:vAlign w:val="center"/>
          </w:tcPr>
          <w:p w14:paraId="317B55ED" w14:textId="77777777" w:rsidR="0044035E" w:rsidRPr="00A455FD" w:rsidRDefault="0044035E" w:rsidP="006A1A41">
            <w:pPr>
              <w:ind w:firstLineChars="100" w:firstLine="120"/>
              <w:jc w:val="right"/>
              <w:rPr>
                <w:rFonts w:asciiTheme="minorHAnsi" w:eastAsia="Times New Roman" w:hAnsiTheme="minorHAnsi" w:cstheme="minorHAnsi"/>
                <w:i/>
                <w:iCs/>
                <w:sz w:val="12"/>
                <w:szCs w:val="12"/>
              </w:rPr>
            </w:pPr>
            <w:r w:rsidRPr="00A455FD">
              <w:rPr>
                <w:rFonts w:asciiTheme="minorHAnsi" w:hAnsiTheme="minorHAnsi" w:cstheme="minorHAnsi"/>
                <w:i/>
                <w:iCs/>
                <w:color w:val="000000"/>
                <w:sz w:val="12"/>
                <w:szCs w:val="12"/>
              </w:rPr>
              <w:t>1,641.9</w:t>
            </w:r>
          </w:p>
        </w:tc>
        <w:tc>
          <w:tcPr>
            <w:tcW w:w="907" w:type="dxa"/>
            <w:tcBorders>
              <w:top w:val="nil"/>
              <w:left w:val="nil"/>
              <w:bottom w:val="nil"/>
              <w:right w:val="nil"/>
            </w:tcBorders>
            <w:shd w:val="clear" w:color="000000" w:fill="FFFFFF"/>
            <w:vAlign w:val="center"/>
          </w:tcPr>
          <w:p w14:paraId="639C41EF"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i/>
                <w:iCs/>
                <w:sz w:val="12"/>
                <w:szCs w:val="12"/>
              </w:rPr>
              <w:t>1,248.7</w:t>
            </w:r>
          </w:p>
        </w:tc>
        <w:tc>
          <w:tcPr>
            <w:tcW w:w="709" w:type="dxa"/>
            <w:shd w:val="clear" w:color="000000" w:fill="FFFFFF"/>
            <w:vAlign w:val="center"/>
          </w:tcPr>
          <w:p w14:paraId="7C9A552F" w14:textId="77777777" w:rsidR="0044035E" w:rsidRPr="00A455FD" w:rsidRDefault="0044035E" w:rsidP="006A1A41">
            <w:pPr>
              <w:ind w:firstLineChars="100" w:firstLine="120"/>
              <w:jc w:val="right"/>
              <w:rPr>
                <w:rFonts w:asciiTheme="minorHAnsi" w:eastAsia="Times New Roman" w:hAnsiTheme="minorHAnsi" w:cstheme="minorHAnsi"/>
                <w:i/>
                <w:iCs/>
                <w:sz w:val="12"/>
                <w:szCs w:val="12"/>
              </w:rPr>
            </w:pPr>
            <w:r w:rsidRPr="00A455FD">
              <w:rPr>
                <w:rFonts w:asciiTheme="minorHAnsi" w:hAnsiTheme="minorHAnsi" w:cstheme="minorHAnsi"/>
                <w:i/>
                <w:iCs/>
                <w:color w:val="000000"/>
                <w:sz w:val="12"/>
                <w:szCs w:val="12"/>
              </w:rPr>
              <w:t>31%</w:t>
            </w:r>
          </w:p>
        </w:tc>
        <w:tc>
          <w:tcPr>
            <w:tcW w:w="819" w:type="dxa"/>
            <w:shd w:val="clear" w:color="000000" w:fill="FFFFFF"/>
            <w:vAlign w:val="center"/>
          </w:tcPr>
          <w:p w14:paraId="47C2EF0C" w14:textId="77777777" w:rsidR="0044035E" w:rsidRPr="00A455FD" w:rsidRDefault="0044035E" w:rsidP="006A1A41">
            <w:pPr>
              <w:ind w:firstLineChars="100" w:firstLine="120"/>
              <w:jc w:val="right"/>
              <w:rPr>
                <w:rFonts w:asciiTheme="minorHAnsi" w:eastAsia="Times New Roman" w:hAnsiTheme="minorHAnsi" w:cstheme="minorHAnsi"/>
                <w:i/>
                <w:iCs/>
                <w:sz w:val="12"/>
                <w:szCs w:val="12"/>
              </w:rPr>
            </w:pPr>
            <w:r w:rsidRPr="00A455FD">
              <w:rPr>
                <w:rFonts w:asciiTheme="minorHAnsi" w:hAnsiTheme="minorHAnsi" w:cstheme="minorHAnsi"/>
                <w:i/>
                <w:iCs/>
                <w:color w:val="000000"/>
                <w:sz w:val="12"/>
                <w:szCs w:val="12"/>
              </w:rPr>
              <w:t>30%</w:t>
            </w:r>
          </w:p>
        </w:tc>
      </w:tr>
      <w:tr w:rsidR="0044035E" w:rsidRPr="00CA4A72" w14:paraId="6F361241" w14:textId="77777777" w:rsidTr="006A1A41">
        <w:trPr>
          <w:trHeight w:val="170"/>
        </w:trPr>
        <w:tc>
          <w:tcPr>
            <w:tcW w:w="2975" w:type="dxa"/>
            <w:tcBorders>
              <w:top w:val="nil"/>
              <w:bottom w:val="nil"/>
              <w:right w:val="single" w:sz="4" w:space="0" w:color="auto"/>
            </w:tcBorders>
            <w:shd w:val="clear" w:color="auto" w:fill="auto"/>
            <w:vAlign w:val="center"/>
            <w:hideMark/>
          </w:tcPr>
          <w:p w14:paraId="3276C993" w14:textId="77777777" w:rsidR="0044035E" w:rsidRPr="00CA4A72" w:rsidRDefault="0044035E" w:rsidP="006A1A41">
            <w:pPr>
              <w:rPr>
                <w:rFonts w:asciiTheme="minorHAnsi" w:eastAsia="Times New Roman" w:hAnsiTheme="minorHAnsi" w:cstheme="minorHAnsi"/>
                <w:sz w:val="12"/>
                <w:szCs w:val="12"/>
              </w:rPr>
            </w:pPr>
            <w:r w:rsidRPr="00CA4A72">
              <w:rPr>
                <w:rFonts w:asciiTheme="minorHAnsi" w:hAnsiTheme="minorHAnsi" w:cstheme="minorHAnsi"/>
                <w:sz w:val="12"/>
                <w:szCs w:val="12"/>
              </w:rPr>
              <w:t>Services revenue</w:t>
            </w:r>
          </w:p>
        </w:tc>
        <w:tc>
          <w:tcPr>
            <w:tcW w:w="907" w:type="dxa"/>
            <w:tcBorders>
              <w:left w:val="single" w:sz="4" w:space="0" w:color="auto"/>
            </w:tcBorders>
            <w:shd w:val="clear" w:color="000000" w:fill="FFFFFF"/>
            <w:vAlign w:val="center"/>
          </w:tcPr>
          <w:p w14:paraId="121FE87E"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110.1</w:t>
            </w:r>
          </w:p>
        </w:tc>
        <w:tc>
          <w:tcPr>
            <w:tcW w:w="907" w:type="dxa"/>
            <w:tcBorders>
              <w:top w:val="nil"/>
              <w:left w:val="nil"/>
              <w:bottom w:val="nil"/>
              <w:right w:val="nil"/>
            </w:tcBorders>
            <w:shd w:val="clear" w:color="000000" w:fill="FFFFFF"/>
            <w:vAlign w:val="center"/>
          </w:tcPr>
          <w:p w14:paraId="6D26E650"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sz w:val="12"/>
                <w:szCs w:val="12"/>
              </w:rPr>
              <w:t>114.4</w:t>
            </w:r>
          </w:p>
        </w:tc>
        <w:tc>
          <w:tcPr>
            <w:tcW w:w="752" w:type="dxa"/>
            <w:shd w:val="clear" w:color="000000" w:fill="FFFFFF"/>
            <w:vAlign w:val="center"/>
          </w:tcPr>
          <w:p w14:paraId="085E8247"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(4)%</w:t>
            </w:r>
          </w:p>
        </w:tc>
        <w:tc>
          <w:tcPr>
            <w:tcW w:w="756" w:type="dxa"/>
            <w:tcBorders>
              <w:right w:val="single" w:sz="4" w:space="0" w:color="auto"/>
            </w:tcBorders>
            <w:shd w:val="clear" w:color="000000" w:fill="FFFFFF"/>
            <w:vAlign w:val="center"/>
          </w:tcPr>
          <w:p w14:paraId="2CB890F8"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(5)%</w:t>
            </w:r>
          </w:p>
        </w:tc>
        <w:tc>
          <w:tcPr>
            <w:tcW w:w="907" w:type="dxa"/>
            <w:tcBorders>
              <w:left w:val="single" w:sz="4" w:space="0" w:color="auto"/>
            </w:tcBorders>
            <w:shd w:val="clear" w:color="000000" w:fill="FFFFFF"/>
            <w:vAlign w:val="center"/>
          </w:tcPr>
          <w:p w14:paraId="3F9E5642"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231.5</w:t>
            </w:r>
          </w:p>
        </w:tc>
        <w:tc>
          <w:tcPr>
            <w:tcW w:w="907" w:type="dxa"/>
            <w:tcBorders>
              <w:top w:val="nil"/>
              <w:left w:val="nil"/>
              <w:bottom w:val="nil"/>
              <w:right w:val="nil"/>
            </w:tcBorders>
            <w:shd w:val="clear" w:color="000000" w:fill="FFFFFF"/>
            <w:vAlign w:val="center"/>
          </w:tcPr>
          <w:p w14:paraId="385FE57D"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sz w:val="12"/>
                <w:szCs w:val="12"/>
              </w:rPr>
              <w:t>218.9</w:t>
            </w:r>
          </w:p>
        </w:tc>
        <w:tc>
          <w:tcPr>
            <w:tcW w:w="709" w:type="dxa"/>
            <w:shd w:val="clear" w:color="000000" w:fill="FFFFFF"/>
            <w:vAlign w:val="center"/>
          </w:tcPr>
          <w:p w14:paraId="51F3B923"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6%</w:t>
            </w:r>
          </w:p>
        </w:tc>
        <w:tc>
          <w:tcPr>
            <w:tcW w:w="819" w:type="dxa"/>
            <w:shd w:val="clear" w:color="000000" w:fill="FFFFFF"/>
            <w:vAlign w:val="center"/>
          </w:tcPr>
          <w:p w14:paraId="0E124D8F"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5%</w:t>
            </w:r>
          </w:p>
        </w:tc>
      </w:tr>
      <w:tr w:rsidR="0044035E" w:rsidRPr="00CA4A72" w14:paraId="582198AC" w14:textId="77777777" w:rsidTr="006A1A41">
        <w:trPr>
          <w:trHeight w:val="170"/>
        </w:trPr>
        <w:tc>
          <w:tcPr>
            <w:tcW w:w="2975" w:type="dxa"/>
            <w:tcBorders>
              <w:top w:val="nil"/>
              <w:bottom w:val="nil"/>
              <w:right w:val="single" w:sz="4" w:space="0" w:color="auto"/>
            </w:tcBorders>
            <w:shd w:val="clear" w:color="auto" w:fill="auto"/>
            <w:vAlign w:val="center"/>
            <w:hideMark/>
          </w:tcPr>
          <w:p w14:paraId="0867475F" w14:textId="77777777" w:rsidR="0044035E" w:rsidRPr="00CA4A72" w:rsidRDefault="0044035E" w:rsidP="006A1A41">
            <w:pPr>
              <w:rPr>
                <w:rFonts w:asciiTheme="minorHAnsi" w:eastAsia="Times New Roman" w:hAnsiTheme="minorHAnsi" w:cstheme="minorHAnsi"/>
                <w:sz w:val="12"/>
                <w:szCs w:val="12"/>
              </w:rPr>
            </w:pPr>
            <w:r w:rsidRPr="00CA4A72">
              <w:rPr>
                <w:rFonts w:asciiTheme="minorHAnsi" w:hAnsiTheme="minorHAnsi" w:cstheme="minorHAnsi"/>
                <w:sz w:val="12"/>
                <w:szCs w:val="12"/>
              </w:rPr>
              <w:t> </w:t>
            </w:r>
          </w:p>
        </w:tc>
        <w:tc>
          <w:tcPr>
            <w:tcW w:w="907" w:type="dxa"/>
            <w:tcBorders>
              <w:left w:val="single" w:sz="4" w:space="0" w:color="auto"/>
            </w:tcBorders>
            <w:shd w:val="clear" w:color="000000" w:fill="FFFFFF"/>
            <w:vAlign w:val="center"/>
          </w:tcPr>
          <w:p w14:paraId="7D29AF72"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p>
        </w:tc>
        <w:tc>
          <w:tcPr>
            <w:tcW w:w="907" w:type="dxa"/>
            <w:tcBorders>
              <w:top w:val="nil"/>
              <w:left w:val="nil"/>
              <w:bottom w:val="nil"/>
              <w:right w:val="nil"/>
            </w:tcBorders>
            <w:shd w:val="clear" w:color="000000" w:fill="FFFFFF"/>
            <w:vAlign w:val="center"/>
          </w:tcPr>
          <w:p w14:paraId="433CA180"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sz w:val="12"/>
                <w:szCs w:val="12"/>
              </w:rPr>
              <w:t> </w:t>
            </w:r>
          </w:p>
        </w:tc>
        <w:tc>
          <w:tcPr>
            <w:tcW w:w="752" w:type="dxa"/>
            <w:shd w:val="clear" w:color="000000" w:fill="FFFFFF"/>
            <w:vAlign w:val="center"/>
          </w:tcPr>
          <w:p w14:paraId="080C735C"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p>
        </w:tc>
        <w:tc>
          <w:tcPr>
            <w:tcW w:w="756" w:type="dxa"/>
            <w:tcBorders>
              <w:right w:val="single" w:sz="4" w:space="0" w:color="auto"/>
            </w:tcBorders>
            <w:shd w:val="clear" w:color="000000" w:fill="FFFFFF"/>
            <w:vAlign w:val="center"/>
          </w:tcPr>
          <w:p w14:paraId="60B24B50"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p>
        </w:tc>
        <w:tc>
          <w:tcPr>
            <w:tcW w:w="907" w:type="dxa"/>
            <w:tcBorders>
              <w:left w:val="single" w:sz="4" w:space="0" w:color="auto"/>
            </w:tcBorders>
            <w:shd w:val="clear" w:color="000000" w:fill="FFFFFF"/>
            <w:vAlign w:val="center"/>
          </w:tcPr>
          <w:p w14:paraId="3300336D"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p>
        </w:tc>
        <w:tc>
          <w:tcPr>
            <w:tcW w:w="907" w:type="dxa"/>
            <w:tcBorders>
              <w:top w:val="nil"/>
              <w:left w:val="nil"/>
              <w:bottom w:val="nil"/>
              <w:right w:val="nil"/>
            </w:tcBorders>
            <w:shd w:val="clear" w:color="000000" w:fill="FFFFFF"/>
            <w:vAlign w:val="center"/>
          </w:tcPr>
          <w:p w14:paraId="29C19DA3"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sz w:val="12"/>
                <w:szCs w:val="12"/>
              </w:rPr>
              <w:t> </w:t>
            </w:r>
          </w:p>
        </w:tc>
        <w:tc>
          <w:tcPr>
            <w:tcW w:w="709" w:type="dxa"/>
            <w:shd w:val="clear" w:color="000000" w:fill="FFFFFF"/>
            <w:vAlign w:val="center"/>
          </w:tcPr>
          <w:p w14:paraId="03C9432C" w14:textId="77777777" w:rsidR="0044035E" w:rsidRPr="00A455FD" w:rsidRDefault="0044035E" w:rsidP="006A1A41">
            <w:pPr>
              <w:jc w:val="right"/>
              <w:rPr>
                <w:rFonts w:asciiTheme="minorHAnsi" w:eastAsia="Times New Roman" w:hAnsiTheme="minorHAnsi" w:cstheme="minorHAnsi"/>
                <w:sz w:val="12"/>
                <w:szCs w:val="12"/>
              </w:rPr>
            </w:pPr>
          </w:p>
        </w:tc>
        <w:tc>
          <w:tcPr>
            <w:tcW w:w="819" w:type="dxa"/>
            <w:shd w:val="clear" w:color="000000" w:fill="FFFFFF"/>
            <w:vAlign w:val="center"/>
          </w:tcPr>
          <w:p w14:paraId="5B229100"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p>
        </w:tc>
      </w:tr>
      <w:tr w:rsidR="0044035E" w:rsidRPr="00CA4A72" w14:paraId="07C66D7C" w14:textId="77777777" w:rsidTr="006A1A41">
        <w:trPr>
          <w:trHeight w:val="170"/>
        </w:trPr>
        <w:tc>
          <w:tcPr>
            <w:tcW w:w="2975" w:type="dxa"/>
            <w:tcBorders>
              <w:top w:val="nil"/>
              <w:bottom w:val="nil"/>
              <w:right w:val="single" w:sz="4" w:space="0" w:color="auto"/>
            </w:tcBorders>
            <w:shd w:val="clear" w:color="auto" w:fill="auto"/>
            <w:vAlign w:val="center"/>
            <w:hideMark/>
          </w:tcPr>
          <w:p w14:paraId="1BEAD900" w14:textId="77777777" w:rsidR="0044035E" w:rsidRPr="00CA4A72" w:rsidRDefault="0044035E" w:rsidP="006A1A41">
            <w:pPr>
              <w:rPr>
                <w:rFonts w:asciiTheme="minorHAnsi" w:eastAsia="Times New Roman" w:hAnsiTheme="minorHAnsi" w:cstheme="minorHAnsi"/>
                <w:b/>
                <w:bCs/>
                <w:sz w:val="12"/>
                <w:szCs w:val="12"/>
              </w:rPr>
            </w:pPr>
            <w:r w:rsidRPr="00CA4A72">
              <w:rPr>
                <w:rFonts w:asciiTheme="minorHAnsi" w:hAnsiTheme="minorHAnsi" w:cstheme="minorHAnsi"/>
                <w:b/>
                <w:bCs/>
                <w:sz w:val="12"/>
                <w:szCs w:val="12"/>
              </w:rPr>
              <w:t>Software revenue breakdown by product line</w:t>
            </w:r>
          </w:p>
        </w:tc>
        <w:tc>
          <w:tcPr>
            <w:tcW w:w="907" w:type="dxa"/>
            <w:tcBorders>
              <w:left w:val="single" w:sz="4" w:space="0" w:color="auto"/>
            </w:tcBorders>
            <w:shd w:val="clear" w:color="000000" w:fill="FFFFFF"/>
            <w:vAlign w:val="center"/>
          </w:tcPr>
          <w:p w14:paraId="1B9398AA"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p>
        </w:tc>
        <w:tc>
          <w:tcPr>
            <w:tcW w:w="907" w:type="dxa"/>
            <w:tcBorders>
              <w:top w:val="nil"/>
              <w:left w:val="nil"/>
              <w:bottom w:val="nil"/>
              <w:right w:val="nil"/>
            </w:tcBorders>
            <w:shd w:val="clear" w:color="000000" w:fill="FFFFFF"/>
            <w:vAlign w:val="center"/>
          </w:tcPr>
          <w:p w14:paraId="08546610"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sz w:val="12"/>
                <w:szCs w:val="12"/>
              </w:rPr>
              <w:t> </w:t>
            </w:r>
          </w:p>
        </w:tc>
        <w:tc>
          <w:tcPr>
            <w:tcW w:w="752" w:type="dxa"/>
            <w:shd w:val="clear" w:color="000000" w:fill="FFFFFF"/>
            <w:vAlign w:val="center"/>
          </w:tcPr>
          <w:p w14:paraId="28DC1F0C"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p>
        </w:tc>
        <w:tc>
          <w:tcPr>
            <w:tcW w:w="756" w:type="dxa"/>
            <w:tcBorders>
              <w:right w:val="single" w:sz="4" w:space="0" w:color="auto"/>
            </w:tcBorders>
            <w:shd w:val="clear" w:color="000000" w:fill="FFFFFF"/>
            <w:vAlign w:val="center"/>
          </w:tcPr>
          <w:p w14:paraId="1F9FE1C8"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p>
        </w:tc>
        <w:tc>
          <w:tcPr>
            <w:tcW w:w="907" w:type="dxa"/>
            <w:tcBorders>
              <w:left w:val="single" w:sz="4" w:space="0" w:color="auto"/>
            </w:tcBorders>
            <w:shd w:val="clear" w:color="000000" w:fill="FFFFFF"/>
            <w:vAlign w:val="center"/>
          </w:tcPr>
          <w:p w14:paraId="53A58800"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p>
        </w:tc>
        <w:tc>
          <w:tcPr>
            <w:tcW w:w="907" w:type="dxa"/>
            <w:tcBorders>
              <w:top w:val="nil"/>
              <w:left w:val="nil"/>
              <w:bottom w:val="nil"/>
              <w:right w:val="nil"/>
            </w:tcBorders>
            <w:shd w:val="clear" w:color="000000" w:fill="FFFFFF"/>
            <w:vAlign w:val="center"/>
          </w:tcPr>
          <w:p w14:paraId="105F59BF"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sz w:val="12"/>
                <w:szCs w:val="12"/>
              </w:rPr>
              <w:t> </w:t>
            </w:r>
          </w:p>
        </w:tc>
        <w:tc>
          <w:tcPr>
            <w:tcW w:w="709" w:type="dxa"/>
            <w:shd w:val="clear" w:color="000000" w:fill="FFFFFF"/>
            <w:vAlign w:val="center"/>
          </w:tcPr>
          <w:p w14:paraId="35029D86" w14:textId="77777777" w:rsidR="0044035E" w:rsidRPr="00A455FD" w:rsidRDefault="0044035E" w:rsidP="006A1A41">
            <w:pPr>
              <w:jc w:val="right"/>
              <w:rPr>
                <w:rFonts w:asciiTheme="minorHAnsi" w:eastAsia="Times New Roman" w:hAnsiTheme="minorHAnsi" w:cstheme="minorHAnsi"/>
                <w:sz w:val="12"/>
                <w:szCs w:val="12"/>
              </w:rPr>
            </w:pPr>
          </w:p>
        </w:tc>
        <w:tc>
          <w:tcPr>
            <w:tcW w:w="819" w:type="dxa"/>
            <w:shd w:val="clear" w:color="000000" w:fill="FFFFFF"/>
            <w:vAlign w:val="center"/>
          </w:tcPr>
          <w:p w14:paraId="4061ECCE"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p>
        </w:tc>
      </w:tr>
      <w:tr w:rsidR="0044035E" w:rsidRPr="00CA4A72" w14:paraId="160E7EBA" w14:textId="77777777" w:rsidTr="006A1A41">
        <w:trPr>
          <w:trHeight w:val="170"/>
        </w:trPr>
        <w:tc>
          <w:tcPr>
            <w:tcW w:w="2975" w:type="dxa"/>
            <w:tcBorders>
              <w:top w:val="nil"/>
              <w:bottom w:val="nil"/>
              <w:right w:val="single" w:sz="4" w:space="0" w:color="auto"/>
            </w:tcBorders>
            <w:shd w:val="clear" w:color="auto" w:fill="auto"/>
            <w:vAlign w:val="center"/>
            <w:hideMark/>
          </w:tcPr>
          <w:p w14:paraId="6262EEEF" w14:textId="77777777" w:rsidR="0044035E" w:rsidRPr="009233D9" w:rsidRDefault="0044035E" w:rsidP="006A1A41">
            <w:pPr>
              <w:rPr>
                <w:rFonts w:asciiTheme="minorHAnsi" w:eastAsia="Times New Roman" w:hAnsiTheme="minorHAnsi" w:cstheme="minorHAnsi"/>
                <w:sz w:val="12"/>
                <w:szCs w:val="12"/>
              </w:rPr>
            </w:pPr>
            <w:r>
              <w:rPr>
                <w:rFonts w:asciiTheme="minorHAnsi" w:hAnsiTheme="minorHAnsi" w:cstheme="minorHAnsi"/>
                <w:sz w:val="12"/>
                <w:szCs w:val="12"/>
              </w:rPr>
              <w:t>Industrial Innovation</w:t>
            </w:r>
          </w:p>
        </w:tc>
        <w:tc>
          <w:tcPr>
            <w:tcW w:w="907" w:type="dxa"/>
            <w:tcBorders>
              <w:left w:val="single" w:sz="4" w:space="0" w:color="auto"/>
            </w:tcBorders>
            <w:shd w:val="clear" w:color="000000" w:fill="FFFFFF"/>
            <w:vAlign w:val="center"/>
          </w:tcPr>
          <w:p w14:paraId="08752C35"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545.7</w:t>
            </w:r>
          </w:p>
        </w:tc>
        <w:tc>
          <w:tcPr>
            <w:tcW w:w="907" w:type="dxa"/>
            <w:tcBorders>
              <w:top w:val="nil"/>
              <w:left w:val="nil"/>
              <w:bottom w:val="nil"/>
              <w:right w:val="nil"/>
            </w:tcBorders>
            <w:shd w:val="clear" w:color="auto" w:fill="auto"/>
            <w:vAlign w:val="center"/>
          </w:tcPr>
          <w:p w14:paraId="122D9784"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sz w:val="12"/>
                <w:szCs w:val="12"/>
              </w:rPr>
              <w:t>597.1</w:t>
            </w:r>
          </w:p>
        </w:tc>
        <w:tc>
          <w:tcPr>
            <w:tcW w:w="752" w:type="dxa"/>
            <w:shd w:val="clear" w:color="000000" w:fill="FFFFFF"/>
            <w:vAlign w:val="center"/>
          </w:tcPr>
          <w:p w14:paraId="7A1A6782"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(9)%</w:t>
            </w:r>
          </w:p>
        </w:tc>
        <w:tc>
          <w:tcPr>
            <w:tcW w:w="756" w:type="dxa"/>
            <w:tcBorders>
              <w:right w:val="single" w:sz="4" w:space="0" w:color="auto"/>
            </w:tcBorders>
            <w:shd w:val="clear" w:color="000000" w:fill="FFFFFF"/>
            <w:vAlign w:val="center"/>
          </w:tcPr>
          <w:p w14:paraId="6201EE25"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(9)%</w:t>
            </w:r>
          </w:p>
        </w:tc>
        <w:tc>
          <w:tcPr>
            <w:tcW w:w="907" w:type="dxa"/>
            <w:tcBorders>
              <w:left w:val="single" w:sz="4" w:space="0" w:color="auto"/>
            </w:tcBorders>
            <w:shd w:val="clear" w:color="000000" w:fill="FFFFFF"/>
            <w:vAlign w:val="center"/>
          </w:tcPr>
          <w:p w14:paraId="7F19EE75"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1,150.7</w:t>
            </w:r>
          </w:p>
        </w:tc>
        <w:tc>
          <w:tcPr>
            <w:tcW w:w="907" w:type="dxa"/>
            <w:tcBorders>
              <w:top w:val="nil"/>
              <w:left w:val="nil"/>
              <w:bottom w:val="nil"/>
              <w:right w:val="nil"/>
            </w:tcBorders>
            <w:shd w:val="clear" w:color="auto" w:fill="auto"/>
            <w:vAlign w:val="center"/>
          </w:tcPr>
          <w:p w14:paraId="20DE09B9"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sz w:val="12"/>
                <w:szCs w:val="12"/>
              </w:rPr>
              <w:t>1,202.2</w:t>
            </w:r>
          </w:p>
        </w:tc>
        <w:tc>
          <w:tcPr>
            <w:tcW w:w="709" w:type="dxa"/>
            <w:shd w:val="clear" w:color="000000" w:fill="FFFFFF"/>
            <w:vAlign w:val="center"/>
          </w:tcPr>
          <w:p w14:paraId="0127C492"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(4)%</w:t>
            </w:r>
          </w:p>
        </w:tc>
        <w:tc>
          <w:tcPr>
            <w:tcW w:w="819" w:type="dxa"/>
            <w:shd w:val="clear" w:color="000000" w:fill="FFFFFF"/>
            <w:vAlign w:val="center"/>
          </w:tcPr>
          <w:p w14:paraId="6DACB7A7"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(5)%</w:t>
            </w:r>
          </w:p>
        </w:tc>
      </w:tr>
      <w:tr w:rsidR="0044035E" w:rsidRPr="00CA4A72" w14:paraId="7323E110" w14:textId="77777777" w:rsidTr="006A1A41">
        <w:trPr>
          <w:trHeight w:val="170"/>
        </w:trPr>
        <w:tc>
          <w:tcPr>
            <w:tcW w:w="2975" w:type="dxa"/>
            <w:tcBorders>
              <w:top w:val="nil"/>
              <w:bottom w:val="nil"/>
              <w:right w:val="single" w:sz="4" w:space="0" w:color="auto"/>
            </w:tcBorders>
            <w:shd w:val="clear" w:color="auto" w:fill="auto"/>
            <w:vAlign w:val="center"/>
          </w:tcPr>
          <w:p w14:paraId="45206ABB" w14:textId="77777777" w:rsidR="0044035E" w:rsidRPr="009233D9" w:rsidRDefault="0044035E" w:rsidP="006A1A41">
            <w:pPr>
              <w:ind w:firstLineChars="100" w:firstLine="120"/>
              <w:rPr>
                <w:rFonts w:asciiTheme="minorHAnsi" w:hAnsiTheme="minorHAnsi" w:cstheme="minorHAnsi"/>
                <w:i/>
                <w:sz w:val="12"/>
                <w:szCs w:val="12"/>
              </w:rPr>
            </w:pPr>
            <w:r w:rsidRPr="009233D9">
              <w:rPr>
                <w:rFonts w:asciiTheme="minorHAnsi" w:hAnsiTheme="minorHAnsi" w:cstheme="minorHAnsi"/>
                <w:i/>
                <w:sz w:val="12"/>
                <w:szCs w:val="12"/>
              </w:rPr>
              <w:t>Of which CATIA</w:t>
            </w:r>
          </w:p>
        </w:tc>
        <w:tc>
          <w:tcPr>
            <w:tcW w:w="907" w:type="dxa"/>
            <w:tcBorders>
              <w:left w:val="single" w:sz="4" w:space="0" w:color="auto"/>
            </w:tcBorders>
            <w:shd w:val="clear" w:color="000000" w:fill="FFFFFF"/>
            <w:vAlign w:val="center"/>
          </w:tcPr>
          <w:p w14:paraId="07AB5484" w14:textId="77777777" w:rsidR="0044035E" w:rsidRPr="00A455FD" w:rsidRDefault="0044035E" w:rsidP="006A1A41">
            <w:pPr>
              <w:ind w:firstLineChars="100" w:firstLine="120"/>
              <w:jc w:val="right"/>
              <w:rPr>
                <w:rFonts w:asciiTheme="minorHAnsi" w:eastAsia="Times New Roman" w:hAnsiTheme="minorHAnsi" w:cstheme="minorHAnsi"/>
                <w:i/>
                <w:sz w:val="12"/>
                <w:szCs w:val="12"/>
              </w:rPr>
            </w:pPr>
            <w:r w:rsidRPr="00A455FD">
              <w:rPr>
                <w:rFonts w:asciiTheme="minorHAnsi" w:hAnsiTheme="minorHAnsi" w:cstheme="minorHAnsi"/>
                <w:i/>
                <w:iCs/>
                <w:color w:val="000000"/>
                <w:sz w:val="12"/>
                <w:szCs w:val="12"/>
              </w:rPr>
              <w:t>251.5</w:t>
            </w:r>
          </w:p>
        </w:tc>
        <w:tc>
          <w:tcPr>
            <w:tcW w:w="907" w:type="dxa"/>
            <w:tcBorders>
              <w:top w:val="nil"/>
              <w:left w:val="nil"/>
              <w:bottom w:val="nil"/>
              <w:right w:val="nil"/>
            </w:tcBorders>
            <w:shd w:val="clear" w:color="auto" w:fill="auto"/>
            <w:vAlign w:val="center"/>
          </w:tcPr>
          <w:p w14:paraId="52D5F17E" w14:textId="77777777" w:rsidR="0044035E" w:rsidRPr="00A455FD" w:rsidRDefault="0044035E" w:rsidP="006A1A41">
            <w:pPr>
              <w:ind w:firstLineChars="100" w:firstLine="120"/>
              <w:jc w:val="right"/>
              <w:rPr>
                <w:rFonts w:asciiTheme="minorHAnsi" w:eastAsia="Times New Roman" w:hAnsiTheme="minorHAnsi" w:cstheme="minorHAnsi"/>
                <w:i/>
                <w:sz w:val="12"/>
                <w:szCs w:val="12"/>
              </w:rPr>
            </w:pPr>
            <w:r w:rsidRPr="00A455FD">
              <w:rPr>
                <w:rFonts w:asciiTheme="minorHAnsi" w:hAnsiTheme="minorHAnsi" w:cstheme="minorHAnsi"/>
                <w:i/>
                <w:iCs/>
                <w:sz w:val="12"/>
                <w:szCs w:val="12"/>
              </w:rPr>
              <w:t>280.4</w:t>
            </w:r>
          </w:p>
        </w:tc>
        <w:tc>
          <w:tcPr>
            <w:tcW w:w="752" w:type="dxa"/>
            <w:shd w:val="clear" w:color="000000" w:fill="FFFFFF"/>
            <w:vAlign w:val="center"/>
          </w:tcPr>
          <w:p w14:paraId="749E48AF" w14:textId="77777777" w:rsidR="0044035E" w:rsidRPr="00A455FD" w:rsidRDefault="0044035E" w:rsidP="006A1A41">
            <w:pPr>
              <w:ind w:firstLineChars="100" w:firstLine="120"/>
              <w:jc w:val="right"/>
              <w:rPr>
                <w:rFonts w:asciiTheme="minorHAnsi" w:eastAsia="Times New Roman" w:hAnsiTheme="minorHAnsi" w:cstheme="minorHAnsi"/>
                <w:i/>
                <w:sz w:val="12"/>
                <w:szCs w:val="12"/>
              </w:rPr>
            </w:pPr>
            <w:r w:rsidRPr="00A455FD">
              <w:rPr>
                <w:rFonts w:asciiTheme="minorHAnsi" w:hAnsiTheme="minorHAnsi" w:cstheme="minorHAnsi"/>
                <w:i/>
                <w:iCs/>
                <w:color w:val="000000"/>
                <w:sz w:val="12"/>
                <w:szCs w:val="12"/>
              </w:rPr>
              <w:t>(10)%</w:t>
            </w:r>
          </w:p>
        </w:tc>
        <w:tc>
          <w:tcPr>
            <w:tcW w:w="756" w:type="dxa"/>
            <w:tcBorders>
              <w:right w:val="single" w:sz="4" w:space="0" w:color="auto"/>
            </w:tcBorders>
            <w:shd w:val="clear" w:color="000000" w:fill="FFFFFF"/>
            <w:vAlign w:val="center"/>
          </w:tcPr>
          <w:p w14:paraId="77576093" w14:textId="77777777" w:rsidR="0044035E" w:rsidRPr="00A455FD" w:rsidRDefault="0044035E" w:rsidP="006A1A41">
            <w:pPr>
              <w:ind w:firstLineChars="100" w:firstLine="120"/>
              <w:jc w:val="right"/>
              <w:rPr>
                <w:rFonts w:asciiTheme="minorHAnsi" w:eastAsia="Times New Roman" w:hAnsiTheme="minorHAnsi" w:cstheme="minorHAnsi"/>
                <w:i/>
                <w:sz w:val="12"/>
                <w:szCs w:val="12"/>
              </w:rPr>
            </w:pPr>
            <w:r w:rsidRPr="00A455FD">
              <w:rPr>
                <w:rFonts w:asciiTheme="minorHAnsi" w:hAnsiTheme="minorHAnsi" w:cstheme="minorHAnsi"/>
                <w:i/>
                <w:iCs/>
                <w:color w:val="000000"/>
                <w:sz w:val="12"/>
                <w:szCs w:val="12"/>
              </w:rPr>
              <w:t>(11)%</w:t>
            </w:r>
          </w:p>
        </w:tc>
        <w:tc>
          <w:tcPr>
            <w:tcW w:w="907" w:type="dxa"/>
            <w:tcBorders>
              <w:left w:val="single" w:sz="4" w:space="0" w:color="auto"/>
            </w:tcBorders>
            <w:shd w:val="clear" w:color="000000" w:fill="FFFFFF"/>
            <w:vAlign w:val="center"/>
          </w:tcPr>
          <w:p w14:paraId="6E20E31B" w14:textId="77777777" w:rsidR="0044035E" w:rsidRPr="00A455FD" w:rsidRDefault="0044035E" w:rsidP="006A1A41">
            <w:pPr>
              <w:ind w:firstLineChars="100" w:firstLine="120"/>
              <w:jc w:val="right"/>
              <w:rPr>
                <w:rFonts w:asciiTheme="minorHAnsi" w:eastAsia="Times New Roman" w:hAnsiTheme="minorHAnsi" w:cstheme="minorHAnsi"/>
                <w:i/>
                <w:sz w:val="12"/>
                <w:szCs w:val="12"/>
              </w:rPr>
            </w:pPr>
            <w:r w:rsidRPr="00A455FD">
              <w:rPr>
                <w:rFonts w:asciiTheme="minorHAnsi" w:hAnsiTheme="minorHAnsi" w:cstheme="minorHAnsi"/>
                <w:i/>
                <w:iCs/>
                <w:color w:val="000000"/>
                <w:sz w:val="12"/>
                <w:szCs w:val="12"/>
              </w:rPr>
              <w:t>522.6</w:t>
            </w:r>
          </w:p>
        </w:tc>
        <w:tc>
          <w:tcPr>
            <w:tcW w:w="907" w:type="dxa"/>
            <w:tcBorders>
              <w:top w:val="nil"/>
              <w:left w:val="nil"/>
              <w:bottom w:val="nil"/>
              <w:right w:val="nil"/>
            </w:tcBorders>
            <w:shd w:val="clear" w:color="auto" w:fill="auto"/>
            <w:vAlign w:val="center"/>
          </w:tcPr>
          <w:p w14:paraId="7EB57ED0" w14:textId="77777777" w:rsidR="0044035E" w:rsidRPr="00A455FD" w:rsidRDefault="0044035E" w:rsidP="006A1A41">
            <w:pPr>
              <w:ind w:firstLineChars="100" w:firstLine="120"/>
              <w:jc w:val="right"/>
              <w:rPr>
                <w:rFonts w:asciiTheme="minorHAnsi" w:eastAsia="Times New Roman" w:hAnsiTheme="minorHAnsi" w:cstheme="minorHAnsi"/>
                <w:i/>
                <w:sz w:val="12"/>
                <w:szCs w:val="12"/>
              </w:rPr>
            </w:pPr>
            <w:r w:rsidRPr="00A455FD">
              <w:rPr>
                <w:rFonts w:asciiTheme="minorHAnsi" w:hAnsiTheme="minorHAnsi" w:cstheme="minorHAnsi"/>
                <w:i/>
                <w:iCs/>
                <w:sz w:val="12"/>
                <w:szCs w:val="12"/>
              </w:rPr>
              <w:t>550.5</w:t>
            </w:r>
          </w:p>
        </w:tc>
        <w:tc>
          <w:tcPr>
            <w:tcW w:w="709" w:type="dxa"/>
            <w:shd w:val="clear" w:color="000000" w:fill="FFFFFF"/>
            <w:vAlign w:val="center"/>
          </w:tcPr>
          <w:p w14:paraId="13CEE315" w14:textId="77777777" w:rsidR="0044035E" w:rsidRPr="00A455FD" w:rsidRDefault="0044035E" w:rsidP="006A1A41">
            <w:pPr>
              <w:ind w:firstLineChars="100" w:firstLine="120"/>
              <w:jc w:val="right"/>
              <w:rPr>
                <w:rFonts w:asciiTheme="minorHAnsi" w:eastAsia="Times New Roman" w:hAnsiTheme="minorHAnsi" w:cstheme="minorHAnsi"/>
                <w:i/>
                <w:sz w:val="12"/>
                <w:szCs w:val="12"/>
              </w:rPr>
            </w:pPr>
            <w:r w:rsidRPr="00A455FD">
              <w:rPr>
                <w:rFonts w:asciiTheme="minorHAnsi" w:hAnsiTheme="minorHAnsi" w:cstheme="minorHAnsi"/>
                <w:i/>
                <w:iCs/>
                <w:color w:val="000000"/>
                <w:sz w:val="12"/>
                <w:szCs w:val="12"/>
              </w:rPr>
              <w:t>(5)%</w:t>
            </w:r>
          </w:p>
        </w:tc>
        <w:tc>
          <w:tcPr>
            <w:tcW w:w="819" w:type="dxa"/>
            <w:shd w:val="clear" w:color="000000" w:fill="FFFFFF"/>
            <w:vAlign w:val="center"/>
          </w:tcPr>
          <w:p w14:paraId="02EA574D" w14:textId="77777777" w:rsidR="0044035E" w:rsidRPr="00A455FD" w:rsidRDefault="0044035E" w:rsidP="006A1A41">
            <w:pPr>
              <w:ind w:firstLineChars="100" w:firstLine="120"/>
              <w:jc w:val="right"/>
              <w:rPr>
                <w:rFonts w:asciiTheme="minorHAnsi" w:eastAsia="Times New Roman" w:hAnsiTheme="minorHAnsi" w:cstheme="minorHAnsi"/>
                <w:i/>
                <w:sz w:val="12"/>
                <w:szCs w:val="12"/>
              </w:rPr>
            </w:pPr>
            <w:r w:rsidRPr="00A455FD">
              <w:rPr>
                <w:rFonts w:asciiTheme="minorHAnsi" w:hAnsiTheme="minorHAnsi" w:cstheme="minorHAnsi"/>
                <w:i/>
                <w:iCs/>
                <w:color w:val="000000"/>
                <w:sz w:val="12"/>
                <w:szCs w:val="12"/>
              </w:rPr>
              <w:t>(6)%</w:t>
            </w:r>
          </w:p>
        </w:tc>
      </w:tr>
      <w:tr w:rsidR="0044035E" w:rsidRPr="00CA4A72" w14:paraId="1FB64AF5" w14:textId="77777777" w:rsidTr="006A1A41">
        <w:trPr>
          <w:trHeight w:val="170"/>
        </w:trPr>
        <w:tc>
          <w:tcPr>
            <w:tcW w:w="2975" w:type="dxa"/>
            <w:tcBorders>
              <w:top w:val="nil"/>
              <w:bottom w:val="nil"/>
              <w:right w:val="single" w:sz="4" w:space="0" w:color="auto"/>
            </w:tcBorders>
            <w:shd w:val="clear" w:color="auto" w:fill="auto"/>
            <w:vAlign w:val="center"/>
          </w:tcPr>
          <w:p w14:paraId="427E1694" w14:textId="77777777" w:rsidR="0044035E" w:rsidRPr="009233D9" w:rsidRDefault="0044035E" w:rsidP="006A1A41">
            <w:pPr>
              <w:ind w:firstLineChars="100" w:firstLine="120"/>
              <w:rPr>
                <w:rFonts w:asciiTheme="minorHAnsi" w:hAnsiTheme="minorHAnsi" w:cstheme="minorHAnsi"/>
                <w:i/>
                <w:sz w:val="12"/>
                <w:szCs w:val="12"/>
              </w:rPr>
            </w:pPr>
            <w:r w:rsidRPr="009233D9">
              <w:rPr>
                <w:rFonts w:asciiTheme="minorHAnsi" w:hAnsiTheme="minorHAnsi" w:cstheme="minorHAnsi"/>
                <w:i/>
                <w:sz w:val="12"/>
                <w:szCs w:val="12"/>
              </w:rPr>
              <w:t>Of which ENOVIA</w:t>
            </w:r>
            <w:r>
              <w:rPr>
                <w:rFonts w:asciiTheme="minorHAnsi" w:hAnsiTheme="minorHAnsi" w:cstheme="minorHAnsi"/>
                <w:i/>
                <w:sz w:val="12"/>
                <w:szCs w:val="12"/>
              </w:rPr>
              <w:t xml:space="preserve"> </w:t>
            </w:r>
            <w:r w:rsidRPr="009233D9">
              <w:rPr>
                <w:rFonts w:asciiTheme="minorHAnsi" w:hAnsiTheme="minorHAnsi" w:cstheme="minorHAnsi"/>
                <w:i/>
                <w:sz w:val="12"/>
                <w:szCs w:val="12"/>
                <w:vertAlign w:val="superscript"/>
              </w:rPr>
              <w:t>(</w:t>
            </w:r>
            <w:r>
              <w:rPr>
                <w:rFonts w:asciiTheme="minorHAnsi" w:hAnsiTheme="minorHAnsi" w:cstheme="minorHAnsi"/>
                <w:i/>
                <w:sz w:val="12"/>
                <w:szCs w:val="12"/>
                <w:vertAlign w:val="superscript"/>
              </w:rPr>
              <w:t>1</w:t>
            </w:r>
            <w:r w:rsidRPr="009233D9">
              <w:rPr>
                <w:rFonts w:asciiTheme="minorHAnsi" w:hAnsiTheme="minorHAnsi" w:cstheme="minorHAnsi"/>
                <w:i/>
                <w:sz w:val="12"/>
                <w:szCs w:val="12"/>
                <w:vertAlign w:val="superscript"/>
              </w:rPr>
              <w:t>)</w:t>
            </w:r>
          </w:p>
        </w:tc>
        <w:tc>
          <w:tcPr>
            <w:tcW w:w="907" w:type="dxa"/>
            <w:tcBorders>
              <w:left w:val="single" w:sz="4" w:space="0" w:color="auto"/>
            </w:tcBorders>
            <w:shd w:val="clear" w:color="000000" w:fill="FFFFFF"/>
            <w:vAlign w:val="center"/>
          </w:tcPr>
          <w:p w14:paraId="7A350E98" w14:textId="77777777" w:rsidR="0044035E" w:rsidRPr="00A455FD" w:rsidRDefault="0044035E" w:rsidP="006A1A41">
            <w:pPr>
              <w:ind w:firstLineChars="100" w:firstLine="120"/>
              <w:jc w:val="right"/>
              <w:rPr>
                <w:rFonts w:asciiTheme="minorHAnsi" w:eastAsia="Times New Roman" w:hAnsiTheme="minorHAnsi" w:cstheme="minorHAnsi"/>
                <w:i/>
                <w:sz w:val="12"/>
                <w:szCs w:val="12"/>
              </w:rPr>
            </w:pPr>
            <w:r w:rsidRPr="00A455FD">
              <w:rPr>
                <w:rFonts w:asciiTheme="minorHAnsi" w:hAnsiTheme="minorHAnsi" w:cstheme="minorHAnsi"/>
                <w:i/>
                <w:iCs/>
                <w:color w:val="000000"/>
                <w:sz w:val="12"/>
                <w:szCs w:val="12"/>
              </w:rPr>
              <w:t>83.5</w:t>
            </w:r>
          </w:p>
        </w:tc>
        <w:tc>
          <w:tcPr>
            <w:tcW w:w="907" w:type="dxa"/>
            <w:tcBorders>
              <w:top w:val="nil"/>
              <w:left w:val="nil"/>
              <w:bottom w:val="nil"/>
              <w:right w:val="nil"/>
            </w:tcBorders>
            <w:shd w:val="clear" w:color="auto" w:fill="auto"/>
            <w:vAlign w:val="center"/>
          </w:tcPr>
          <w:p w14:paraId="607DCD76" w14:textId="77777777" w:rsidR="0044035E" w:rsidRPr="00A455FD" w:rsidRDefault="0044035E" w:rsidP="006A1A41">
            <w:pPr>
              <w:ind w:firstLineChars="100" w:firstLine="120"/>
              <w:jc w:val="right"/>
              <w:rPr>
                <w:rFonts w:asciiTheme="minorHAnsi" w:eastAsia="Times New Roman" w:hAnsiTheme="minorHAnsi" w:cstheme="minorHAnsi"/>
                <w:i/>
                <w:sz w:val="12"/>
                <w:szCs w:val="12"/>
              </w:rPr>
            </w:pPr>
            <w:r w:rsidRPr="00A455FD">
              <w:rPr>
                <w:rFonts w:asciiTheme="minorHAnsi" w:hAnsiTheme="minorHAnsi" w:cstheme="minorHAnsi"/>
                <w:i/>
                <w:iCs/>
                <w:sz w:val="12"/>
                <w:szCs w:val="12"/>
              </w:rPr>
              <w:t>93.4</w:t>
            </w:r>
          </w:p>
        </w:tc>
        <w:tc>
          <w:tcPr>
            <w:tcW w:w="752" w:type="dxa"/>
            <w:shd w:val="clear" w:color="000000" w:fill="FFFFFF"/>
            <w:vAlign w:val="center"/>
          </w:tcPr>
          <w:p w14:paraId="5540059A" w14:textId="77777777" w:rsidR="0044035E" w:rsidRPr="00A455FD" w:rsidRDefault="0044035E" w:rsidP="006A1A41">
            <w:pPr>
              <w:ind w:firstLineChars="100" w:firstLine="120"/>
              <w:jc w:val="right"/>
              <w:rPr>
                <w:rFonts w:asciiTheme="minorHAnsi" w:eastAsia="Times New Roman" w:hAnsiTheme="minorHAnsi" w:cstheme="minorHAnsi"/>
                <w:i/>
                <w:sz w:val="12"/>
                <w:szCs w:val="12"/>
              </w:rPr>
            </w:pPr>
            <w:r w:rsidRPr="00A455FD">
              <w:rPr>
                <w:rFonts w:asciiTheme="minorHAnsi" w:hAnsiTheme="minorHAnsi" w:cstheme="minorHAnsi"/>
                <w:i/>
                <w:iCs/>
                <w:color w:val="000000"/>
                <w:sz w:val="12"/>
                <w:szCs w:val="12"/>
              </w:rPr>
              <w:t>(11)%</w:t>
            </w:r>
          </w:p>
        </w:tc>
        <w:tc>
          <w:tcPr>
            <w:tcW w:w="756" w:type="dxa"/>
            <w:tcBorders>
              <w:right w:val="single" w:sz="4" w:space="0" w:color="auto"/>
            </w:tcBorders>
            <w:shd w:val="clear" w:color="000000" w:fill="FFFFFF"/>
            <w:vAlign w:val="center"/>
          </w:tcPr>
          <w:p w14:paraId="1423C7B4" w14:textId="77777777" w:rsidR="0044035E" w:rsidRPr="00A455FD" w:rsidRDefault="0044035E" w:rsidP="006A1A41">
            <w:pPr>
              <w:ind w:firstLineChars="100" w:firstLine="120"/>
              <w:jc w:val="right"/>
              <w:rPr>
                <w:rFonts w:asciiTheme="minorHAnsi" w:eastAsia="Times New Roman" w:hAnsiTheme="minorHAnsi" w:cstheme="minorHAnsi"/>
                <w:i/>
                <w:sz w:val="12"/>
                <w:szCs w:val="12"/>
              </w:rPr>
            </w:pPr>
            <w:r w:rsidRPr="00A455FD">
              <w:rPr>
                <w:rFonts w:asciiTheme="minorHAnsi" w:hAnsiTheme="minorHAnsi" w:cstheme="minorHAnsi"/>
                <w:i/>
                <w:iCs/>
                <w:color w:val="000000"/>
                <w:sz w:val="12"/>
                <w:szCs w:val="12"/>
              </w:rPr>
              <w:t>(11)%</w:t>
            </w:r>
          </w:p>
        </w:tc>
        <w:tc>
          <w:tcPr>
            <w:tcW w:w="907" w:type="dxa"/>
            <w:tcBorders>
              <w:left w:val="single" w:sz="4" w:space="0" w:color="auto"/>
            </w:tcBorders>
            <w:shd w:val="clear" w:color="000000" w:fill="FFFFFF"/>
            <w:vAlign w:val="center"/>
          </w:tcPr>
          <w:p w14:paraId="3BB1074D" w14:textId="77777777" w:rsidR="0044035E" w:rsidRPr="00A455FD" w:rsidRDefault="0044035E" w:rsidP="006A1A41">
            <w:pPr>
              <w:ind w:firstLineChars="100" w:firstLine="120"/>
              <w:jc w:val="right"/>
              <w:rPr>
                <w:rFonts w:asciiTheme="minorHAnsi" w:eastAsia="Times New Roman" w:hAnsiTheme="minorHAnsi" w:cstheme="minorHAnsi"/>
                <w:i/>
                <w:sz w:val="12"/>
                <w:szCs w:val="12"/>
              </w:rPr>
            </w:pPr>
            <w:r w:rsidRPr="00A455FD">
              <w:rPr>
                <w:rFonts w:asciiTheme="minorHAnsi" w:hAnsiTheme="minorHAnsi" w:cstheme="minorHAnsi"/>
                <w:i/>
                <w:iCs/>
                <w:color w:val="000000"/>
                <w:sz w:val="12"/>
                <w:szCs w:val="12"/>
              </w:rPr>
              <w:t>164.1</w:t>
            </w:r>
          </w:p>
        </w:tc>
        <w:tc>
          <w:tcPr>
            <w:tcW w:w="907" w:type="dxa"/>
            <w:tcBorders>
              <w:top w:val="nil"/>
              <w:left w:val="nil"/>
              <w:bottom w:val="nil"/>
              <w:right w:val="nil"/>
            </w:tcBorders>
            <w:shd w:val="clear" w:color="auto" w:fill="auto"/>
            <w:vAlign w:val="center"/>
          </w:tcPr>
          <w:p w14:paraId="1171F6AF" w14:textId="77777777" w:rsidR="0044035E" w:rsidRPr="00A455FD" w:rsidRDefault="0044035E" w:rsidP="006A1A41">
            <w:pPr>
              <w:ind w:firstLineChars="100" w:firstLine="120"/>
              <w:jc w:val="right"/>
              <w:rPr>
                <w:rFonts w:asciiTheme="minorHAnsi" w:eastAsia="Times New Roman" w:hAnsiTheme="minorHAnsi" w:cstheme="minorHAnsi"/>
                <w:i/>
                <w:sz w:val="12"/>
                <w:szCs w:val="12"/>
              </w:rPr>
            </w:pPr>
            <w:r w:rsidRPr="00A455FD">
              <w:rPr>
                <w:rFonts w:asciiTheme="minorHAnsi" w:hAnsiTheme="minorHAnsi" w:cstheme="minorHAnsi"/>
                <w:i/>
                <w:iCs/>
                <w:sz w:val="12"/>
                <w:szCs w:val="12"/>
              </w:rPr>
              <w:t>182.4</w:t>
            </w:r>
          </w:p>
        </w:tc>
        <w:tc>
          <w:tcPr>
            <w:tcW w:w="709" w:type="dxa"/>
            <w:shd w:val="clear" w:color="000000" w:fill="FFFFFF"/>
            <w:vAlign w:val="center"/>
          </w:tcPr>
          <w:p w14:paraId="5C1145A7" w14:textId="77777777" w:rsidR="0044035E" w:rsidRPr="00A455FD" w:rsidRDefault="0044035E" w:rsidP="006A1A41">
            <w:pPr>
              <w:ind w:firstLineChars="100" w:firstLine="120"/>
              <w:jc w:val="right"/>
              <w:rPr>
                <w:rFonts w:asciiTheme="minorHAnsi" w:eastAsia="Times New Roman" w:hAnsiTheme="minorHAnsi" w:cstheme="minorHAnsi"/>
                <w:i/>
                <w:sz w:val="12"/>
                <w:szCs w:val="12"/>
              </w:rPr>
            </w:pPr>
            <w:r w:rsidRPr="00A455FD">
              <w:rPr>
                <w:rFonts w:asciiTheme="minorHAnsi" w:hAnsiTheme="minorHAnsi" w:cstheme="minorHAnsi"/>
                <w:i/>
                <w:iCs/>
                <w:color w:val="000000"/>
                <w:sz w:val="12"/>
                <w:szCs w:val="12"/>
              </w:rPr>
              <w:t>(10)%</w:t>
            </w:r>
          </w:p>
        </w:tc>
        <w:tc>
          <w:tcPr>
            <w:tcW w:w="819" w:type="dxa"/>
            <w:shd w:val="clear" w:color="000000" w:fill="FFFFFF"/>
            <w:vAlign w:val="center"/>
          </w:tcPr>
          <w:p w14:paraId="1DAA0CB5" w14:textId="77777777" w:rsidR="0044035E" w:rsidRPr="00A455FD" w:rsidRDefault="0044035E" w:rsidP="006A1A41">
            <w:pPr>
              <w:ind w:firstLineChars="100" w:firstLine="120"/>
              <w:jc w:val="right"/>
              <w:rPr>
                <w:rFonts w:asciiTheme="minorHAnsi" w:eastAsia="Times New Roman" w:hAnsiTheme="minorHAnsi" w:cstheme="minorHAnsi"/>
                <w:i/>
                <w:sz w:val="12"/>
                <w:szCs w:val="12"/>
              </w:rPr>
            </w:pPr>
            <w:r w:rsidRPr="00A455FD">
              <w:rPr>
                <w:rFonts w:asciiTheme="minorHAnsi" w:hAnsiTheme="minorHAnsi" w:cstheme="minorHAnsi"/>
                <w:i/>
                <w:iCs/>
                <w:color w:val="000000"/>
                <w:sz w:val="12"/>
                <w:szCs w:val="12"/>
              </w:rPr>
              <w:t>(11)%</w:t>
            </w:r>
          </w:p>
        </w:tc>
      </w:tr>
      <w:tr w:rsidR="0044035E" w:rsidRPr="00CA4A72" w14:paraId="06B642D4" w14:textId="77777777" w:rsidTr="006A1A41">
        <w:trPr>
          <w:trHeight w:val="170"/>
        </w:trPr>
        <w:tc>
          <w:tcPr>
            <w:tcW w:w="2975" w:type="dxa"/>
            <w:tcBorders>
              <w:top w:val="nil"/>
              <w:bottom w:val="nil"/>
              <w:right w:val="single" w:sz="4" w:space="0" w:color="auto"/>
            </w:tcBorders>
            <w:shd w:val="clear" w:color="auto" w:fill="auto"/>
            <w:vAlign w:val="center"/>
            <w:hideMark/>
          </w:tcPr>
          <w:p w14:paraId="2F664C42" w14:textId="77777777" w:rsidR="0044035E" w:rsidRPr="009233D9" w:rsidRDefault="0044035E" w:rsidP="006A1A41">
            <w:pPr>
              <w:rPr>
                <w:rFonts w:asciiTheme="minorHAnsi" w:eastAsia="Times New Roman" w:hAnsiTheme="minorHAnsi" w:cstheme="minorHAnsi"/>
                <w:sz w:val="12"/>
                <w:szCs w:val="12"/>
              </w:rPr>
            </w:pPr>
            <w:r>
              <w:rPr>
                <w:rFonts w:asciiTheme="minorHAnsi" w:hAnsiTheme="minorHAnsi" w:cstheme="minorHAnsi"/>
                <w:sz w:val="12"/>
                <w:szCs w:val="12"/>
              </w:rPr>
              <w:t xml:space="preserve">Life Sciences </w:t>
            </w:r>
            <w:r w:rsidRPr="009233D9">
              <w:rPr>
                <w:rFonts w:asciiTheme="minorHAnsi" w:hAnsiTheme="minorHAnsi" w:cstheme="minorHAnsi"/>
                <w:sz w:val="12"/>
                <w:szCs w:val="12"/>
                <w:vertAlign w:val="superscript"/>
              </w:rPr>
              <w:t>(</w:t>
            </w:r>
            <w:r>
              <w:rPr>
                <w:rFonts w:asciiTheme="minorHAnsi" w:hAnsiTheme="minorHAnsi" w:cstheme="minorHAnsi"/>
                <w:sz w:val="12"/>
                <w:szCs w:val="12"/>
                <w:vertAlign w:val="superscript"/>
              </w:rPr>
              <w:t>2</w:t>
            </w:r>
            <w:r w:rsidRPr="009233D9">
              <w:rPr>
                <w:rFonts w:asciiTheme="minorHAnsi" w:hAnsiTheme="minorHAnsi" w:cstheme="minorHAnsi"/>
                <w:sz w:val="12"/>
                <w:szCs w:val="12"/>
                <w:vertAlign w:val="superscript"/>
              </w:rPr>
              <w:t>)</w:t>
            </w:r>
          </w:p>
        </w:tc>
        <w:tc>
          <w:tcPr>
            <w:tcW w:w="907" w:type="dxa"/>
            <w:tcBorders>
              <w:left w:val="single" w:sz="4" w:space="0" w:color="auto"/>
            </w:tcBorders>
            <w:shd w:val="clear" w:color="000000" w:fill="FFFFFF"/>
            <w:vAlign w:val="center"/>
          </w:tcPr>
          <w:p w14:paraId="02883CBF"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193.8</w:t>
            </w:r>
          </w:p>
        </w:tc>
        <w:tc>
          <w:tcPr>
            <w:tcW w:w="907" w:type="dxa"/>
            <w:tcBorders>
              <w:top w:val="nil"/>
              <w:left w:val="nil"/>
              <w:bottom w:val="nil"/>
              <w:right w:val="nil"/>
            </w:tcBorders>
            <w:shd w:val="clear" w:color="auto" w:fill="auto"/>
            <w:vAlign w:val="center"/>
          </w:tcPr>
          <w:p w14:paraId="3F8F2AC7"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sz w:val="12"/>
                <w:szCs w:val="12"/>
              </w:rPr>
              <w:t>30.5</w:t>
            </w:r>
          </w:p>
        </w:tc>
        <w:tc>
          <w:tcPr>
            <w:tcW w:w="752" w:type="dxa"/>
            <w:shd w:val="clear" w:color="000000" w:fill="FFFFFF"/>
            <w:vAlign w:val="center"/>
          </w:tcPr>
          <w:p w14:paraId="7268E165"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536%</w:t>
            </w:r>
          </w:p>
        </w:tc>
        <w:tc>
          <w:tcPr>
            <w:tcW w:w="756" w:type="dxa"/>
            <w:tcBorders>
              <w:right w:val="single" w:sz="4" w:space="0" w:color="auto"/>
            </w:tcBorders>
            <w:shd w:val="clear" w:color="000000" w:fill="FFFFFF"/>
            <w:vAlign w:val="center"/>
          </w:tcPr>
          <w:p w14:paraId="3C9BCD03"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526%</w:t>
            </w:r>
          </w:p>
        </w:tc>
        <w:tc>
          <w:tcPr>
            <w:tcW w:w="907" w:type="dxa"/>
            <w:tcBorders>
              <w:left w:val="single" w:sz="4" w:space="0" w:color="auto"/>
            </w:tcBorders>
            <w:shd w:val="clear" w:color="000000" w:fill="FFFFFF"/>
            <w:vAlign w:val="center"/>
          </w:tcPr>
          <w:p w14:paraId="4014C687"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388.8</w:t>
            </w:r>
          </w:p>
        </w:tc>
        <w:tc>
          <w:tcPr>
            <w:tcW w:w="907" w:type="dxa"/>
            <w:tcBorders>
              <w:top w:val="nil"/>
              <w:left w:val="nil"/>
              <w:bottom w:val="nil"/>
              <w:right w:val="nil"/>
            </w:tcBorders>
            <w:shd w:val="clear" w:color="auto" w:fill="auto"/>
            <w:vAlign w:val="center"/>
          </w:tcPr>
          <w:p w14:paraId="78110C18"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sz w:val="12"/>
                <w:szCs w:val="12"/>
              </w:rPr>
              <w:t>69.7</w:t>
            </w:r>
          </w:p>
        </w:tc>
        <w:tc>
          <w:tcPr>
            <w:tcW w:w="709" w:type="dxa"/>
            <w:shd w:val="clear" w:color="000000" w:fill="FFFFFF"/>
            <w:vAlign w:val="center"/>
          </w:tcPr>
          <w:p w14:paraId="4109F9DE"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457%</w:t>
            </w:r>
          </w:p>
        </w:tc>
        <w:tc>
          <w:tcPr>
            <w:tcW w:w="819" w:type="dxa"/>
            <w:shd w:val="clear" w:color="000000" w:fill="FFFFFF"/>
            <w:vAlign w:val="center"/>
          </w:tcPr>
          <w:p w14:paraId="36C38AF2"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446%</w:t>
            </w:r>
          </w:p>
        </w:tc>
      </w:tr>
      <w:tr w:rsidR="0044035E" w:rsidRPr="00CA4A72" w14:paraId="3B5C9C7D" w14:textId="77777777" w:rsidTr="006A1A41">
        <w:trPr>
          <w:trHeight w:val="170"/>
        </w:trPr>
        <w:tc>
          <w:tcPr>
            <w:tcW w:w="2975" w:type="dxa"/>
            <w:tcBorders>
              <w:top w:val="nil"/>
              <w:bottom w:val="nil"/>
              <w:right w:val="single" w:sz="4" w:space="0" w:color="auto"/>
            </w:tcBorders>
            <w:shd w:val="clear" w:color="auto" w:fill="auto"/>
            <w:vAlign w:val="center"/>
          </w:tcPr>
          <w:p w14:paraId="192E7B7C" w14:textId="77777777" w:rsidR="0044035E" w:rsidRPr="009233D9" w:rsidRDefault="0044035E" w:rsidP="006A1A41">
            <w:pPr>
              <w:rPr>
                <w:rFonts w:asciiTheme="minorHAnsi" w:hAnsiTheme="minorHAnsi" w:cstheme="minorHAnsi"/>
                <w:sz w:val="12"/>
                <w:szCs w:val="12"/>
              </w:rPr>
            </w:pPr>
            <w:r>
              <w:rPr>
                <w:rFonts w:asciiTheme="minorHAnsi" w:hAnsiTheme="minorHAnsi" w:cstheme="minorHAnsi"/>
                <w:sz w:val="12"/>
                <w:szCs w:val="12"/>
              </w:rPr>
              <w:t>Mainstream Innovation</w:t>
            </w:r>
          </w:p>
        </w:tc>
        <w:tc>
          <w:tcPr>
            <w:tcW w:w="907" w:type="dxa"/>
            <w:tcBorders>
              <w:left w:val="single" w:sz="4" w:space="0" w:color="auto"/>
            </w:tcBorders>
            <w:shd w:val="clear" w:color="000000" w:fill="FFFFFF"/>
            <w:vAlign w:val="center"/>
          </w:tcPr>
          <w:p w14:paraId="27440DEE"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221.0</w:t>
            </w:r>
          </w:p>
        </w:tc>
        <w:tc>
          <w:tcPr>
            <w:tcW w:w="907" w:type="dxa"/>
            <w:tcBorders>
              <w:top w:val="nil"/>
              <w:left w:val="nil"/>
              <w:bottom w:val="nil"/>
              <w:right w:val="nil"/>
            </w:tcBorders>
            <w:shd w:val="clear" w:color="auto" w:fill="auto"/>
            <w:vAlign w:val="center"/>
          </w:tcPr>
          <w:p w14:paraId="78D71AAE"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sz w:val="12"/>
                <w:szCs w:val="12"/>
              </w:rPr>
              <w:t>223.5</w:t>
            </w:r>
          </w:p>
        </w:tc>
        <w:tc>
          <w:tcPr>
            <w:tcW w:w="752" w:type="dxa"/>
            <w:shd w:val="clear" w:color="000000" w:fill="FFFFFF"/>
            <w:vAlign w:val="center"/>
          </w:tcPr>
          <w:p w14:paraId="6F278064"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(1)%</w:t>
            </w:r>
          </w:p>
        </w:tc>
        <w:tc>
          <w:tcPr>
            <w:tcW w:w="756" w:type="dxa"/>
            <w:tcBorders>
              <w:right w:val="single" w:sz="4" w:space="0" w:color="auto"/>
            </w:tcBorders>
            <w:shd w:val="clear" w:color="000000" w:fill="FFFFFF"/>
            <w:vAlign w:val="center"/>
          </w:tcPr>
          <w:p w14:paraId="59756DD8"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(2)%</w:t>
            </w:r>
          </w:p>
        </w:tc>
        <w:tc>
          <w:tcPr>
            <w:tcW w:w="907" w:type="dxa"/>
            <w:tcBorders>
              <w:left w:val="single" w:sz="4" w:space="0" w:color="auto"/>
            </w:tcBorders>
            <w:shd w:val="clear" w:color="000000" w:fill="FFFFFF"/>
            <w:vAlign w:val="center"/>
          </w:tcPr>
          <w:p w14:paraId="0903D881"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444.0</w:t>
            </w:r>
          </w:p>
        </w:tc>
        <w:tc>
          <w:tcPr>
            <w:tcW w:w="907" w:type="dxa"/>
            <w:tcBorders>
              <w:top w:val="nil"/>
              <w:left w:val="nil"/>
              <w:bottom w:val="nil"/>
              <w:right w:val="nil"/>
            </w:tcBorders>
            <w:shd w:val="clear" w:color="auto" w:fill="auto"/>
            <w:vAlign w:val="center"/>
          </w:tcPr>
          <w:p w14:paraId="739588F4"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sz w:val="12"/>
                <w:szCs w:val="12"/>
              </w:rPr>
              <w:t>438.5</w:t>
            </w:r>
          </w:p>
        </w:tc>
        <w:tc>
          <w:tcPr>
            <w:tcW w:w="709" w:type="dxa"/>
            <w:shd w:val="clear" w:color="000000" w:fill="FFFFFF"/>
            <w:vAlign w:val="center"/>
          </w:tcPr>
          <w:p w14:paraId="4AB3EC68"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1%</w:t>
            </w:r>
          </w:p>
        </w:tc>
        <w:tc>
          <w:tcPr>
            <w:tcW w:w="819" w:type="dxa"/>
            <w:shd w:val="clear" w:color="000000" w:fill="FFFFFF"/>
            <w:vAlign w:val="center"/>
          </w:tcPr>
          <w:p w14:paraId="73811DAE"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(0)%</w:t>
            </w:r>
          </w:p>
        </w:tc>
      </w:tr>
      <w:tr w:rsidR="0044035E" w:rsidRPr="00CA4A72" w14:paraId="6EA12D0E" w14:textId="77777777" w:rsidTr="006A1A41">
        <w:trPr>
          <w:trHeight w:val="170"/>
        </w:trPr>
        <w:tc>
          <w:tcPr>
            <w:tcW w:w="2975" w:type="dxa"/>
            <w:tcBorders>
              <w:top w:val="nil"/>
              <w:bottom w:val="nil"/>
              <w:right w:val="single" w:sz="4" w:space="0" w:color="auto"/>
            </w:tcBorders>
            <w:shd w:val="clear" w:color="auto" w:fill="auto"/>
            <w:vAlign w:val="center"/>
          </w:tcPr>
          <w:p w14:paraId="6AEC400C" w14:textId="77777777" w:rsidR="0044035E" w:rsidRPr="009233D9" w:rsidRDefault="0044035E" w:rsidP="006A1A41">
            <w:pPr>
              <w:ind w:firstLineChars="100" w:firstLine="120"/>
              <w:rPr>
                <w:rFonts w:asciiTheme="minorHAnsi" w:hAnsiTheme="minorHAnsi" w:cstheme="minorHAnsi"/>
                <w:i/>
                <w:sz w:val="12"/>
                <w:szCs w:val="12"/>
              </w:rPr>
            </w:pPr>
            <w:r w:rsidRPr="009233D9">
              <w:rPr>
                <w:rFonts w:asciiTheme="minorHAnsi" w:hAnsiTheme="minorHAnsi" w:cstheme="minorHAnsi"/>
                <w:i/>
                <w:sz w:val="12"/>
                <w:szCs w:val="12"/>
              </w:rPr>
              <w:t>Of which SOLIDWORKS</w:t>
            </w:r>
          </w:p>
        </w:tc>
        <w:tc>
          <w:tcPr>
            <w:tcW w:w="907" w:type="dxa"/>
            <w:tcBorders>
              <w:left w:val="single" w:sz="4" w:space="0" w:color="auto"/>
            </w:tcBorders>
            <w:shd w:val="clear" w:color="000000" w:fill="FFFFFF"/>
            <w:vAlign w:val="center"/>
          </w:tcPr>
          <w:p w14:paraId="046207FF" w14:textId="77777777" w:rsidR="0044035E" w:rsidRPr="00A455FD" w:rsidRDefault="0044035E" w:rsidP="006A1A41">
            <w:pPr>
              <w:ind w:firstLineChars="100" w:firstLine="120"/>
              <w:jc w:val="right"/>
              <w:rPr>
                <w:rFonts w:asciiTheme="minorHAnsi" w:eastAsia="Times New Roman" w:hAnsiTheme="minorHAnsi" w:cstheme="minorHAnsi"/>
                <w:i/>
                <w:sz w:val="12"/>
                <w:szCs w:val="12"/>
              </w:rPr>
            </w:pPr>
            <w:r w:rsidRPr="00A455FD">
              <w:rPr>
                <w:rFonts w:asciiTheme="minorHAnsi" w:hAnsiTheme="minorHAnsi" w:cstheme="minorHAnsi"/>
                <w:i/>
                <w:iCs/>
                <w:color w:val="000000"/>
                <w:sz w:val="12"/>
                <w:szCs w:val="12"/>
              </w:rPr>
              <w:t>198.5</w:t>
            </w:r>
          </w:p>
        </w:tc>
        <w:tc>
          <w:tcPr>
            <w:tcW w:w="907" w:type="dxa"/>
            <w:tcBorders>
              <w:top w:val="nil"/>
              <w:left w:val="nil"/>
              <w:bottom w:val="nil"/>
              <w:right w:val="nil"/>
            </w:tcBorders>
            <w:shd w:val="clear" w:color="auto" w:fill="auto"/>
            <w:vAlign w:val="center"/>
          </w:tcPr>
          <w:p w14:paraId="3FD96A06" w14:textId="77777777" w:rsidR="0044035E" w:rsidRPr="00A455FD" w:rsidRDefault="0044035E" w:rsidP="006A1A41">
            <w:pPr>
              <w:ind w:firstLineChars="100" w:firstLine="120"/>
              <w:jc w:val="right"/>
              <w:rPr>
                <w:rFonts w:asciiTheme="minorHAnsi" w:eastAsia="Times New Roman" w:hAnsiTheme="minorHAnsi" w:cstheme="minorHAnsi"/>
                <w:i/>
                <w:sz w:val="12"/>
                <w:szCs w:val="12"/>
              </w:rPr>
            </w:pPr>
            <w:r w:rsidRPr="00A455FD">
              <w:rPr>
                <w:rFonts w:asciiTheme="minorHAnsi" w:hAnsiTheme="minorHAnsi" w:cstheme="minorHAnsi"/>
                <w:i/>
                <w:iCs/>
                <w:sz w:val="12"/>
                <w:szCs w:val="12"/>
              </w:rPr>
              <w:t>202.8</w:t>
            </w:r>
          </w:p>
        </w:tc>
        <w:tc>
          <w:tcPr>
            <w:tcW w:w="752" w:type="dxa"/>
            <w:shd w:val="clear" w:color="000000" w:fill="FFFFFF"/>
            <w:vAlign w:val="center"/>
          </w:tcPr>
          <w:p w14:paraId="12C53E5A" w14:textId="77777777" w:rsidR="0044035E" w:rsidRPr="00A455FD" w:rsidRDefault="0044035E" w:rsidP="006A1A41">
            <w:pPr>
              <w:ind w:firstLineChars="100" w:firstLine="120"/>
              <w:jc w:val="right"/>
              <w:rPr>
                <w:rFonts w:asciiTheme="minorHAnsi" w:eastAsia="Times New Roman" w:hAnsiTheme="minorHAnsi" w:cstheme="minorHAnsi"/>
                <w:i/>
                <w:sz w:val="12"/>
                <w:szCs w:val="12"/>
              </w:rPr>
            </w:pPr>
            <w:r w:rsidRPr="00A455FD">
              <w:rPr>
                <w:rFonts w:asciiTheme="minorHAnsi" w:hAnsiTheme="minorHAnsi" w:cstheme="minorHAnsi"/>
                <w:i/>
                <w:iCs/>
                <w:color w:val="000000"/>
                <w:sz w:val="12"/>
                <w:szCs w:val="12"/>
              </w:rPr>
              <w:t>(2)%</w:t>
            </w:r>
          </w:p>
        </w:tc>
        <w:tc>
          <w:tcPr>
            <w:tcW w:w="756" w:type="dxa"/>
            <w:tcBorders>
              <w:right w:val="single" w:sz="4" w:space="0" w:color="auto"/>
            </w:tcBorders>
            <w:shd w:val="clear" w:color="000000" w:fill="FFFFFF"/>
            <w:vAlign w:val="center"/>
          </w:tcPr>
          <w:p w14:paraId="33F5B1D4" w14:textId="77777777" w:rsidR="0044035E" w:rsidRPr="00A455FD" w:rsidRDefault="0044035E" w:rsidP="006A1A41">
            <w:pPr>
              <w:ind w:firstLineChars="100" w:firstLine="120"/>
              <w:jc w:val="right"/>
              <w:rPr>
                <w:rFonts w:asciiTheme="minorHAnsi" w:eastAsia="Times New Roman" w:hAnsiTheme="minorHAnsi" w:cstheme="minorHAnsi"/>
                <w:i/>
                <w:sz w:val="12"/>
                <w:szCs w:val="12"/>
              </w:rPr>
            </w:pPr>
            <w:r w:rsidRPr="00A455FD">
              <w:rPr>
                <w:rFonts w:asciiTheme="minorHAnsi" w:hAnsiTheme="minorHAnsi" w:cstheme="minorHAnsi"/>
                <w:i/>
                <w:iCs/>
                <w:color w:val="000000"/>
                <w:sz w:val="12"/>
                <w:szCs w:val="12"/>
              </w:rPr>
              <w:t>(3)%</w:t>
            </w:r>
          </w:p>
        </w:tc>
        <w:tc>
          <w:tcPr>
            <w:tcW w:w="907" w:type="dxa"/>
            <w:tcBorders>
              <w:left w:val="single" w:sz="4" w:space="0" w:color="auto"/>
            </w:tcBorders>
            <w:shd w:val="clear" w:color="000000" w:fill="FFFFFF"/>
            <w:vAlign w:val="center"/>
          </w:tcPr>
          <w:p w14:paraId="73B3CF27" w14:textId="77777777" w:rsidR="0044035E" w:rsidRPr="00A455FD" w:rsidRDefault="0044035E" w:rsidP="006A1A41">
            <w:pPr>
              <w:ind w:firstLineChars="100" w:firstLine="120"/>
              <w:jc w:val="right"/>
              <w:rPr>
                <w:rFonts w:asciiTheme="minorHAnsi" w:eastAsia="Times New Roman" w:hAnsiTheme="minorHAnsi" w:cstheme="minorHAnsi"/>
                <w:i/>
                <w:sz w:val="12"/>
                <w:szCs w:val="12"/>
              </w:rPr>
            </w:pPr>
            <w:r w:rsidRPr="00A455FD">
              <w:rPr>
                <w:rFonts w:asciiTheme="minorHAnsi" w:hAnsiTheme="minorHAnsi" w:cstheme="minorHAnsi"/>
                <w:i/>
                <w:iCs/>
                <w:color w:val="000000"/>
                <w:sz w:val="12"/>
                <w:szCs w:val="12"/>
              </w:rPr>
              <w:t>400.0</w:t>
            </w:r>
          </w:p>
        </w:tc>
        <w:tc>
          <w:tcPr>
            <w:tcW w:w="907" w:type="dxa"/>
            <w:tcBorders>
              <w:top w:val="nil"/>
              <w:left w:val="nil"/>
              <w:bottom w:val="nil"/>
              <w:right w:val="nil"/>
            </w:tcBorders>
            <w:shd w:val="clear" w:color="auto" w:fill="auto"/>
            <w:vAlign w:val="center"/>
          </w:tcPr>
          <w:p w14:paraId="541F13C3" w14:textId="77777777" w:rsidR="0044035E" w:rsidRPr="00A455FD" w:rsidRDefault="0044035E" w:rsidP="006A1A41">
            <w:pPr>
              <w:ind w:firstLineChars="100" w:firstLine="120"/>
              <w:jc w:val="right"/>
              <w:rPr>
                <w:rFonts w:asciiTheme="minorHAnsi" w:eastAsia="Times New Roman" w:hAnsiTheme="minorHAnsi" w:cstheme="minorHAnsi"/>
                <w:i/>
                <w:sz w:val="12"/>
                <w:szCs w:val="12"/>
              </w:rPr>
            </w:pPr>
            <w:r w:rsidRPr="00A455FD">
              <w:rPr>
                <w:rFonts w:asciiTheme="minorHAnsi" w:hAnsiTheme="minorHAnsi" w:cstheme="minorHAnsi"/>
                <w:i/>
                <w:iCs/>
                <w:sz w:val="12"/>
                <w:szCs w:val="12"/>
              </w:rPr>
              <w:t>394.2</w:t>
            </w:r>
          </w:p>
        </w:tc>
        <w:tc>
          <w:tcPr>
            <w:tcW w:w="709" w:type="dxa"/>
            <w:shd w:val="clear" w:color="000000" w:fill="FFFFFF"/>
            <w:vAlign w:val="center"/>
          </w:tcPr>
          <w:p w14:paraId="4745FEC6" w14:textId="77777777" w:rsidR="0044035E" w:rsidRPr="00A455FD" w:rsidRDefault="0044035E" w:rsidP="006A1A41">
            <w:pPr>
              <w:ind w:firstLineChars="100" w:firstLine="120"/>
              <w:jc w:val="right"/>
              <w:rPr>
                <w:rFonts w:asciiTheme="minorHAnsi" w:eastAsia="Times New Roman" w:hAnsiTheme="minorHAnsi" w:cstheme="minorHAnsi"/>
                <w:i/>
                <w:sz w:val="12"/>
                <w:szCs w:val="12"/>
              </w:rPr>
            </w:pPr>
            <w:r w:rsidRPr="00A455FD">
              <w:rPr>
                <w:rFonts w:asciiTheme="minorHAnsi" w:hAnsiTheme="minorHAnsi" w:cstheme="minorHAnsi"/>
                <w:i/>
                <w:iCs/>
                <w:color w:val="000000"/>
                <w:sz w:val="12"/>
                <w:szCs w:val="12"/>
              </w:rPr>
              <w:t>1%</w:t>
            </w:r>
          </w:p>
        </w:tc>
        <w:tc>
          <w:tcPr>
            <w:tcW w:w="819" w:type="dxa"/>
            <w:shd w:val="clear" w:color="000000" w:fill="FFFFFF"/>
            <w:vAlign w:val="center"/>
          </w:tcPr>
          <w:p w14:paraId="634BD116" w14:textId="77777777" w:rsidR="0044035E" w:rsidRPr="00A455FD" w:rsidRDefault="0044035E" w:rsidP="006A1A41">
            <w:pPr>
              <w:ind w:firstLineChars="100" w:firstLine="120"/>
              <w:jc w:val="right"/>
              <w:rPr>
                <w:rFonts w:asciiTheme="minorHAnsi" w:eastAsia="Times New Roman" w:hAnsiTheme="minorHAnsi" w:cstheme="minorHAnsi"/>
                <w:i/>
                <w:sz w:val="12"/>
                <w:szCs w:val="12"/>
              </w:rPr>
            </w:pPr>
            <w:r w:rsidRPr="00A455FD">
              <w:rPr>
                <w:rFonts w:asciiTheme="minorHAnsi" w:hAnsiTheme="minorHAnsi" w:cstheme="minorHAnsi"/>
                <w:i/>
                <w:iCs/>
                <w:color w:val="000000"/>
                <w:sz w:val="12"/>
                <w:szCs w:val="12"/>
              </w:rPr>
              <w:t>(0)%</w:t>
            </w:r>
          </w:p>
        </w:tc>
      </w:tr>
      <w:tr w:rsidR="0044035E" w:rsidRPr="00CA4A72" w14:paraId="2E8C338E" w14:textId="77777777" w:rsidTr="006A1A41">
        <w:trPr>
          <w:trHeight w:val="170"/>
        </w:trPr>
        <w:tc>
          <w:tcPr>
            <w:tcW w:w="2975" w:type="dxa"/>
            <w:tcBorders>
              <w:top w:val="nil"/>
              <w:bottom w:val="nil"/>
              <w:right w:val="single" w:sz="4" w:space="0" w:color="auto"/>
            </w:tcBorders>
            <w:shd w:val="clear" w:color="auto" w:fill="auto"/>
            <w:vAlign w:val="center"/>
            <w:hideMark/>
          </w:tcPr>
          <w:p w14:paraId="384A59CA" w14:textId="77777777" w:rsidR="0044035E" w:rsidRPr="00CA4A72" w:rsidRDefault="0044035E" w:rsidP="006A1A41">
            <w:pPr>
              <w:rPr>
                <w:rFonts w:asciiTheme="minorHAnsi" w:eastAsia="Times New Roman" w:hAnsiTheme="minorHAnsi" w:cstheme="minorHAnsi"/>
                <w:b/>
                <w:bCs/>
                <w:sz w:val="12"/>
                <w:szCs w:val="12"/>
              </w:rPr>
            </w:pPr>
            <w:r w:rsidRPr="00CA4A72">
              <w:rPr>
                <w:rFonts w:asciiTheme="minorHAnsi" w:hAnsiTheme="minorHAnsi" w:cstheme="minorHAnsi"/>
                <w:b/>
                <w:bCs/>
                <w:sz w:val="12"/>
                <w:szCs w:val="12"/>
              </w:rPr>
              <w:t> </w:t>
            </w:r>
          </w:p>
        </w:tc>
        <w:tc>
          <w:tcPr>
            <w:tcW w:w="907" w:type="dxa"/>
            <w:tcBorders>
              <w:left w:val="single" w:sz="4" w:space="0" w:color="auto"/>
            </w:tcBorders>
            <w:shd w:val="clear" w:color="000000" w:fill="FFFFFF"/>
            <w:vAlign w:val="center"/>
          </w:tcPr>
          <w:p w14:paraId="17635CD9"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p>
        </w:tc>
        <w:tc>
          <w:tcPr>
            <w:tcW w:w="907" w:type="dxa"/>
            <w:tcBorders>
              <w:top w:val="nil"/>
              <w:left w:val="nil"/>
              <w:bottom w:val="nil"/>
              <w:right w:val="nil"/>
            </w:tcBorders>
            <w:shd w:val="clear" w:color="000000" w:fill="FFFFFF"/>
            <w:vAlign w:val="center"/>
          </w:tcPr>
          <w:p w14:paraId="59EDA8BA"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sz w:val="12"/>
                <w:szCs w:val="12"/>
              </w:rPr>
              <w:t> </w:t>
            </w:r>
          </w:p>
        </w:tc>
        <w:tc>
          <w:tcPr>
            <w:tcW w:w="752" w:type="dxa"/>
            <w:shd w:val="clear" w:color="000000" w:fill="FFFFFF"/>
            <w:vAlign w:val="center"/>
          </w:tcPr>
          <w:p w14:paraId="0D6ED4BF"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p>
        </w:tc>
        <w:tc>
          <w:tcPr>
            <w:tcW w:w="756" w:type="dxa"/>
            <w:tcBorders>
              <w:right w:val="single" w:sz="4" w:space="0" w:color="auto"/>
            </w:tcBorders>
            <w:shd w:val="clear" w:color="000000" w:fill="FFFFFF"/>
            <w:vAlign w:val="center"/>
          </w:tcPr>
          <w:p w14:paraId="6FE44973"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p>
        </w:tc>
        <w:tc>
          <w:tcPr>
            <w:tcW w:w="907" w:type="dxa"/>
            <w:tcBorders>
              <w:left w:val="single" w:sz="4" w:space="0" w:color="auto"/>
            </w:tcBorders>
            <w:shd w:val="clear" w:color="000000" w:fill="FFFFFF"/>
            <w:vAlign w:val="center"/>
          </w:tcPr>
          <w:p w14:paraId="23E2A51C"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p>
        </w:tc>
        <w:tc>
          <w:tcPr>
            <w:tcW w:w="907" w:type="dxa"/>
            <w:tcBorders>
              <w:top w:val="nil"/>
              <w:left w:val="nil"/>
              <w:bottom w:val="nil"/>
              <w:right w:val="nil"/>
            </w:tcBorders>
            <w:shd w:val="clear" w:color="000000" w:fill="FFFFFF"/>
            <w:vAlign w:val="center"/>
          </w:tcPr>
          <w:p w14:paraId="48E4DF0A"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sz w:val="12"/>
                <w:szCs w:val="12"/>
              </w:rPr>
              <w:t> </w:t>
            </w:r>
          </w:p>
        </w:tc>
        <w:tc>
          <w:tcPr>
            <w:tcW w:w="709" w:type="dxa"/>
            <w:shd w:val="clear" w:color="000000" w:fill="FFFFFF"/>
            <w:vAlign w:val="center"/>
          </w:tcPr>
          <w:p w14:paraId="0F4D617F" w14:textId="77777777" w:rsidR="0044035E" w:rsidRPr="00A455FD" w:rsidRDefault="0044035E" w:rsidP="006A1A41">
            <w:pPr>
              <w:jc w:val="right"/>
              <w:rPr>
                <w:rFonts w:asciiTheme="minorHAnsi" w:eastAsia="Times New Roman" w:hAnsiTheme="minorHAnsi" w:cstheme="minorHAnsi"/>
                <w:b/>
                <w:bCs/>
                <w:sz w:val="12"/>
                <w:szCs w:val="12"/>
              </w:rPr>
            </w:pPr>
          </w:p>
        </w:tc>
        <w:tc>
          <w:tcPr>
            <w:tcW w:w="819" w:type="dxa"/>
            <w:shd w:val="clear" w:color="000000" w:fill="FFFFFF"/>
            <w:vAlign w:val="center"/>
          </w:tcPr>
          <w:p w14:paraId="26A1F6F7"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p>
        </w:tc>
      </w:tr>
      <w:tr w:rsidR="0044035E" w:rsidRPr="00CA4A72" w14:paraId="6CA4E846" w14:textId="77777777" w:rsidTr="006A1A41">
        <w:trPr>
          <w:trHeight w:val="170"/>
        </w:trPr>
        <w:tc>
          <w:tcPr>
            <w:tcW w:w="2975" w:type="dxa"/>
            <w:tcBorders>
              <w:top w:val="nil"/>
              <w:bottom w:val="nil"/>
              <w:right w:val="single" w:sz="4" w:space="0" w:color="auto"/>
            </w:tcBorders>
            <w:shd w:val="clear" w:color="auto" w:fill="auto"/>
            <w:vAlign w:val="center"/>
            <w:hideMark/>
          </w:tcPr>
          <w:p w14:paraId="53A28F8C" w14:textId="77777777" w:rsidR="0044035E" w:rsidRPr="00CA4A72" w:rsidRDefault="0044035E" w:rsidP="006A1A41">
            <w:pPr>
              <w:rPr>
                <w:rFonts w:asciiTheme="minorHAnsi" w:eastAsia="Times New Roman" w:hAnsiTheme="minorHAnsi" w:cstheme="minorHAnsi"/>
                <w:b/>
                <w:bCs/>
                <w:sz w:val="12"/>
                <w:szCs w:val="12"/>
              </w:rPr>
            </w:pPr>
            <w:r w:rsidRPr="00CA4A72">
              <w:rPr>
                <w:rFonts w:asciiTheme="minorHAnsi" w:hAnsiTheme="minorHAnsi" w:cstheme="minorHAnsi"/>
                <w:b/>
                <w:bCs/>
                <w:sz w:val="12"/>
                <w:szCs w:val="12"/>
              </w:rPr>
              <w:t>Revenue breakdown by geography</w:t>
            </w:r>
          </w:p>
        </w:tc>
        <w:tc>
          <w:tcPr>
            <w:tcW w:w="907" w:type="dxa"/>
            <w:tcBorders>
              <w:left w:val="single" w:sz="4" w:space="0" w:color="auto"/>
            </w:tcBorders>
            <w:shd w:val="clear" w:color="000000" w:fill="FFFFFF"/>
            <w:vAlign w:val="center"/>
          </w:tcPr>
          <w:p w14:paraId="1E69DA35" w14:textId="77777777" w:rsidR="0044035E" w:rsidRPr="00A455FD" w:rsidRDefault="0044035E" w:rsidP="006A1A41">
            <w:pPr>
              <w:jc w:val="right"/>
              <w:rPr>
                <w:rFonts w:asciiTheme="minorHAnsi" w:eastAsia="Times New Roman" w:hAnsiTheme="minorHAnsi" w:cstheme="minorHAnsi"/>
                <w:sz w:val="12"/>
                <w:szCs w:val="12"/>
              </w:rPr>
            </w:pPr>
          </w:p>
        </w:tc>
        <w:tc>
          <w:tcPr>
            <w:tcW w:w="907" w:type="dxa"/>
            <w:tcBorders>
              <w:top w:val="nil"/>
              <w:left w:val="nil"/>
              <w:bottom w:val="nil"/>
              <w:right w:val="nil"/>
            </w:tcBorders>
            <w:shd w:val="clear" w:color="000000" w:fill="FFFFFF"/>
            <w:vAlign w:val="center"/>
          </w:tcPr>
          <w:p w14:paraId="5DE4EFC1" w14:textId="77777777" w:rsidR="0044035E" w:rsidRPr="00A455FD" w:rsidRDefault="0044035E" w:rsidP="006A1A41">
            <w:pPr>
              <w:jc w:val="right"/>
              <w:rPr>
                <w:rFonts w:asciiTheme="minorHAnsi" w:eastAsia="Times New Roman" w:hAnsiTheme="minorHAnsi" w:cstheme="minorHAnsi"/>
                <w:sz w:val="12"/>
                <w:szCs w:val="12"/>
              </w:rPr>
            </w:pPr>
            <w:r w:rsidRPr="00A455FD">
              <w:rPr>
                <w:rFonts w:asciiTheme="minorHAnsi" w:hAnsiTheme="minorHAnsi" w:cstheme="minorHAnsi"/>
                <w:sz w:val="12"/>
                <w:szCs w:val="12"/>
              </w:rPr>
              <w:t> </w:t>
            </w:r>
          </w:p>
        </w:tc>
        <w:tc>
          <w:tcPr>
            <w:tcW w:w="752" w:type="dxa"/>
            <w:shd w:val="clear" w:color="000000" w:fill="FFFFFF"/>
            <w:vAlign w:val="center"/>
          </w:tcPr>
          <w:p w14:paraId="32CEAA69" w14:textId="77777777" w:rsidR="0044035E" w:rsidRPr="00A455FD" w:rsidRDefault="0044035E" w:rsidP="006A1A41">
            <w:pPr>
              <w:jc w:val="right"/>
              <w:rPr>
                <w:rFonts w:asciiTheme="minorHAnsi" w:eastAsia="Times New Roman" w:hAnsiTheme="minorHAnsi" w:cstheme="minorHAnsi"/>
                <w:sz w:val="12"/>
                <w:szCs w:val="12"/>
              </w:rPr>
            </w:pPr>
          </w:p>
        </w:tc>
        <w:tc>
          <w:tcPr>
            <w:tcW w:w="756" w:type="dxa"/>
            <w:tcBorders>
              <w:right w:val="single" w:sz="4" w:space="0" w:color="auto"/>
            </w:tcBorders>
            <w:shd w:val="clear" w:color="000000" w:fill="FFFFFF"/>
            <w:vAlign w:val="center"/>
          </w:tcPr>
          <w:p w14:paraId="3D6C5C2E" w14:textId="77777777" w:rsidR="0044035E" w:rsidRPr="00A455FD" w:rsidRDefault="0044035E" w:rsidP="006A1A41">
            <w:pPr>
              <w:jc w:val="right"/>
              <w:rPr>
                <w:rFonts w:asciiTheme="minorHAnsi" w:eastAsia="Times New Roman" w:hAnsiTheme="minorHAnsi" w:cstheme="minorHAnsi"/>
                <w:sz w:val="12"/>
                <w:szCs w:val="12"/>
              </w:rPr>
            </w:pPr>
          </w:p>
        </w:tc>
        <w:tc>
          <w:tcPr>
            <w:tcW w:w="907" w:type="dxa"/>
            <w:tcBorders>
              <w:left w:val="single" w:sz="4" w:space="0" w:color="auto"/>
            </w:tcBorders>
            <w:shd w:val="clear" w:color="000000" w:fill="FFFFFF"/>
            <w:vAlign w:val="center"/>
          </w:tcPr>
          <w:p w14:paraId="011928FB" w14:textId="77777777" w:rsidR="0044035E" w:rsidRPr="00A455FD" w:rsidRDefault="0044035E" w:rsidP="006A1A41">
            <w:pPr>
              <w:jc w:val="right"/>
              <w:rPr>
                <w:rFonts w:asciiTheme="minorHAnsi" w:eastAsia="Times New Roman" w:hAnsiTheme="minorHAnsi" w:cstheme="minorHAnsi"/>
                <w:sz w:val="12"/>
                <w:szCs w:val="12"/>
              </w:rPr>
            </w:pPr>
          </w:p>
        </w:tc>
        <w:tc>
          <w:tcPr>
            <w:tcW w:w="907" w:type="dxa"/>
            <w:tcBorders>
              <w:top w:val="nil"/>
              <w:left w:val="nil"/>
              <w:bottom w:val="nil"/>
              <w:right w:val="nil"/>
            </w:tcBorders>
            <w:shd w:val="clear" w:color="000000" w:fill="FFFFFF"/>
            <w:vAlign w:val="center"/>
          </w:tcPr>
          <w:p w14:paraId="3D45D79C" w14:textId="77777777" w:rsidR="0044035E" w:rsidRPr="00A455FD" w:rsidRDefault="0044035E" w:rsidP="006A1A41">
            <w:pPr>
              <w:jc w:val="right"/>
              <w:rPr>
                <w:rFonts w:asciiTheme="minorHAnsi" w:eastAsia="Times New Roman" w:hAnsiTheme="minorHAnsi" w:cstheme="minorHAnsi"/>
                <w:sz w:val="12"/>
                <w:szCs w:val="12"/>
              </w:rPr>
            </w:pPr>
            <w:r w:rsidRPr="00A455FD">
              <w:rPr>
                <w:rFonts w:asciiTheme="minorHAnsi" w:hAnsiTheme="minorHAnsi" w:cstheme="minorHAnsi"/>
                <w:sz w:val="12"/>
                <w:szCs w:val="12"/>
              </w:rPr>
              <w:t> </w:t>
            </w:r>
          </w:p>
        </w:tc>
        <w:tc>
          <w:tcPr>
            <w:tcW w:w="709" w:type="dxa"/>
            <w:shd w:val="clear" w:color="000000" w:fill="FFFFFF"/>
            <w:vAlign w:val="center"/>
          </w:tcPr>
          <w:p w14:paraId="3B6D5EE1" w14:textId="77777777" w:rsidR="0044035E" w:rsidRPr="00A455FD" w:rsidRDefault="0044035E" w:rsidP="006A1A41">
            <w:pPr>
              <w:jc w:val="right"/>
              <w:rPr>
                <w:rFonts w:asciiTheme="minorHAnsi" w:eastAsia="Times New Roman" w:hAnsiTheme="minorHAnsi" w:cstheme="minorHAnsi"/>
                <w:sz w:val="12"/>
                <w:szCs w:val="12"/>
              </w:rPr>
            </w:pPr>
          </w:p>
        </w:tc>
        <w:tc>
          <w:tcPr>
            <w:tcW w:w="819" w:type="dxa"/>
            <w:shd w:val="clear" w:color="000000" w:fill="FFFFFF"/>
            <w:vAlign w:val="center"/>
          </w:tcPr>
          <w:p w14:paraId="6DDDAF8F" w14:textId="77777777" w:rsidR="0044035E" w:rsidRPr="00A455FD" w:rsidRDefault="0044035E" w:rsidP="006A1A41">
            <w:pPr>
              <w:jc w:val="right"/>
              <w:rPr>
                <w:rFonts w:asciiTheme="minorHAnsi" w:eastAsia="Times New Roman" w:hAnsiTheme="minorHAnsi" w:cstheme="minorHAnsi"/>
                <w:sz w:val="12"/>
                <w:szCs w:val="12"/>
              </w:rPr>
            </w:pPr>
          </w:p>
        </w:tc>
      </w:tr>
      <w:tr w:rsidR="0044035E" w:rsidRPr="00CA4A72" w14:paraId="05841D04" w14:textId="77777777" w:rsidTr="006A1A41">
        <w:trPr>
          <w:trHeight w:val="170"/>
        </w:trPr>
        <w:tc>
          <w:tcPr>
            <w:tcW w:w="2975" w:type="dxa"/>
            <w:tcBorders>
              <w:top w:val="nil"/>
              <w:bottom w:val="nil"/>
              <w:right w:val="single" w:sz="4" w:space="0" w:color="auto"/>
            </w:tcBorders>
            <w:shd w:val="clear" w:color="auto" w:fill="auto"/>
            <w:vAlign w:val="center"/>
            <w:hideMark/>
          </w:tcPr>
          <w:p w14:paraId="0D6FB1DB" w14:textId="77777777" w:rsidR="0044035E" w:rsidRPr="00CA4A72" w:rsidRDefault="0044035E" w:rsidP="006A1A41">
            <w:pPr>
              <w:rPr>
                <w:rFonts w:asciiTheme="minorHAnsi" w:eastAsia="Times New Roman" w:hAnsiTheme="minorHAnsi" w:cstheme="minorHAnsi"/>
                <w:sz w:val="12"/>
                <w:szCs w:val="12"/>
              </w:rPr>
            </w:pPr>
            <w:r w:rsidRPr="00CA4A72">
              <w:rPr>
                <w:rFonts w:asciiTheme="minorHAnsi" w:hAnsiTheme="minorHAnsi" w:cstheme="minorHAnsi"/>
                <w:sz w:val="12"/>
                <w:szCs w:val="12"/>
              </w:rPr>
              <w:t>Americas</w:t>
            </w:r>
          </w:p>
        </w:tc>
        <w:tc>
          <w:tcPr>
            <w:tcW w:w="907" w:type="dxa"/>
            <w:tcBorders>
              <w:left w:val="single" w:sz="4" w:space="0" w:color="auto"/>
            </w:tcBorders>
            <w:shd w:val="clear" w:color="000000" w:fill="FFFFFF"/>
            <w:vAlign w:val="center"/>
          </w:tcPr>
          <w:p w14:paraId="1106CBBE"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413.9</w:t>
            </w:r>
          </w:p>
        </w:tc>
        <w:tc>
          <w:tcPr>
            <w:tcW w:w="907" w:type="dxa"/>
            <w:tcBorders>
              <w:top w:val="nil"/>
              <w:left w:val="nil"/>
              <w:bottom w:val="nil"/>
              <w:right w:val="nil"/>
            </w:tcBorders>
            <w:shd w:val="clear" w:color="000000" w:fill="FFFFFF"/>
            <w:vAlign w:val="center"/>
          </w:tcPr>
          <w:p w14:paraId="4CC2FFCE"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sz w:val="12"/>
                <w:szCs w:val="12"/>
              </w:rPr>
              <w:t>298.7</w:t>
            </w:r>
          </w:p>
        </w:tc>
        <w:tc>
          <w:tcPr>
            <w:tcW w:w="752" w:type="dxa"/>
            <w:shd w:val="clear" w:color="000000" w:fill="FFFFFF"/>
            <w:vAlign w:val="center"/>
          </w:tcPr>
          <w:p w14:paraId="6FDC5C1F"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39%</w:t>
            </w:r>
          </w:p>
        </w:tc>
        <w:tc>
          <w:tcPr>
            <w:tcW w:w="756" w:type="dxa"/>
            <w:tcBorders>
              <w:right w:val="single" w:sz="4" w:space="0" w:color="auto"/>
            </w:tcBorders>
            <w:shd w:val="clear" w:color="000000" w:fill="FFFFFF"/>
            <w:vAlign w:val="center"/>
          </w:tcPr>
          <w:p w14:paraId="73C70CBE"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36%</w:t>
            </w:r>
          </w:p>
        </w:tc>
        <w:tc>
          <w:tcPr>
            <w:tcW w:w="907" w:type="dxa"/>
            <w:tcBorders>
              <w:left w:val="single" w:sz="4" w:space="0" w:color="auto"/>
            </w:tcBorders>
            <w:shd w:val="clear" w:color="000000" w:fill="FFFFFF"/>
            <w:vAlign w:val="center"/>
          </w:tcPr>
          <w:p w14:paraId="3640BC0D"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867.7</w:t>
            </w:r>
          </w:p>
        </w:tc>
        <w:tc>
          <w:tcPr>
            <w:tcW w:w="907" w:type="dxa"/>
            <w:tcBorders>
              <w:top w:val="nil"/>
              <w:left w:val="nil"/>
              <w:bottom w:val="nil"/>
              <w:right w:val="nil"/>
            </w:tcBorders>
            <w:shd w:val="clear" w:color="000000" w:fill="FFFFFF"/>
            <w:vAlign w:val="center"/>
          </w:tcPr>
          <w:p w14:paraId="6C7B0F45"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sz w:val="12"/>
                <w:szCs w:val="12"/>
              </w:rPr>
              <w:t>609.7</w:t>
            </w:r>
          </w:p>
        </w:tc>
        <w:tc>
          <w:tcPr>
            <w:tcW w:w="709" w:type="dxa"/>
            <w:shd w:val="clear" w:color="000000" w:fill="FFFFFF"/>
            <w:vAlign w:val="center"/>
          </w:tcPr>
          <w:p w14:paraId="4805AE05"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42%</w:t>
            </w:r>
          </w:p>
        </w:tc>
        <w:tc>
          <w:tcPr>
            <w:tcW w:w="819" w:type="dxa"/>
            <w:shd w:val="clear" w:color="000000" w:fill="FFFFFF"/>
            <w:vAlign w:val="center"/>
          </w:tcPr>
          <w:p w14:paraId="1CF1DBA5"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39%</w:t>
            </w:r>
          </w:p>
        </w:tc>
      </w:tr>
      <w:tr w:rsidR="0044035E" w:rsidRPr="00CA4A72" w14:paraId="4F70EB28" w14:textId="77777777" w:rsidTr="006A1A41">
        <w:trPr>
          <w:trHeight w:val="170"/>
        </w:trPr>
        <w:tc>
          <w:tcPr>
            <w:tcW w:w="2975" w:type="dxa"/>
            <w:tcBorders>
              <w:top w:val="nil"/>
              <w:bottom w:val="nil"/>
              <w:right w:val="single" w:sz="4" w:space="0" w:color="auto"/>
            </w:tcBorders>
            <w:shd w:val="clear" w:color="auto" w:fill="auto"/>
            <w:vAlign w:val="center"/>
            <w:hideMark/>
          </w:tcPr>
          <w:p w14:paraId="3859CE49" w14:textId="77777777" w:rsidR="0044035E" w:rsidRPr="00CA4A72" w:rsidRDefault="0044035E" w:rsidP="006A1A41">
            <w:pPr>
              <w:rPr>
                <w:rFonts w:asciiTheme="minorHAnsi" w:eastAsia="Times New Roman" w:hAnsiTheme="minorHAnsi" w:cstheme="minorHAnsi"/>
                <w:sz w:val="12"/>
                <w:szCs w:val="12"/>
              </w:rPr>
            </w:pPr>
            <w:r w:rsidRPr="00CA4A72">
              <w:rPr>
                <w:rFonts w:asciiTheme="minorHAnsi" w:hAnsiTheme="minorHAnsi" w:cstheme="minorHAnsi"/>
                <w:sz w:val="12"/>
                <w:szCs w:val="12"/>
              </w:rPr>
              <w:t>Europe</w:t>
            </w:r>
          </w:p>
        </w:tc>
        <w:tc>
          <w:tcPr>
            <w:tcW w:w="907" w:type="dxa"/>
            <w:tcBorders>
              <w:left w:val="single" w:sz="4" w:space="0" w:color="auto"/>
              <w:bottom w:val="nil"/>
            </w:tcBorders>
            <w:shd w:val="clear" w:color="000000" w:fill="FFFFFF"/>
            <w:vAlign w:val="center"/>
          </w:tcPr>
          <w:p w14:paraId="684BAA52"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377.9</w:t>
            </w:r>
          </w:p>
        </w:tc>
        <w:tc>
          <w:tcPr>
            <w:tcW w:w="907" w:type="dxa"/>
            <w:tcBorders>
              <w:top w:val="nil"/>
              <w:left w:val="nil"/>
              <w:bottom w:val="nil"/>
              <w:right w:val="nil"/>
            </w:tcBorders>
            <w:shd w:val="clear" w:color="000000" w:fill="FFFFFF"/>
            <w:vAlign w:val="center"/>
          </w:tcPr>
          <w:p w14:paraId="39D209E5"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sz w:val="12"/>
                <w:szCs w:val="12"/>
              </w:rPr>
              <w:t>394.7</w:t>
            </w:r>
          </w:p>
        </w:tc>
        <w:tc>
          <w:tcPr>
            <w:tcW w:w="752" w:type="dxa"/>
            <w:tcBorders>
              <w:bottom w:val="nil"/>
            </w:tcBorders>
            <w:shd w:val="clear" w:color="000000" w:fill="FFFFFF"/>
            <w:vAlign w:val="center"/>
          </w:tcPr>
          <w:p w14:paraId="49D26491"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(4)%</w:t>
            </w:r>
          </w:p>
        </w:tc>
        <w:tc>
          <w:tcPr>
            <w:tcW w:w="756" w:type="dxa"/>
            <w:tcBorders>
              <w:bottom w:val="nil"/>
              <w:right w:val="single" w:sz="4" w:space="0" w:color="auto"/>
            </w:tcBorders>
            <w:shd w:val="clear" w:color="000000" w:fill="FFFFFF"/>
            <w:vAlign w:val="center"/>
          </w:tcPr>
          <w:p w14:paraId="2768E85E"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(4)%</w:t>
            </w:r>
          </w:p>
        </w:tc>
        <w:tc>
          <w:tcPr>
            <w:tcW w:w="907" w:type="dxa"/>
            <w:tcBorders>
              <w:left w:val="single" w:sz="4" w:space="0" w:color="auto"/>
              <w:bottom w:val="nil"/>
            </w:tcBorders>
            <w:shd w:val="clear" w:color="000000" w:fill="FFFFFF"/>
            <w:vAlign w:val="center"/>
          </w:tcPr>
          <w:p w14:paraId="7EA721E1"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799.4</w:t>
            </w:r>
          </w:p>
        </w:tc>
        <w:tc>
          <w:tcPr>
            <w:tcW w:w="907" w:type="dxa"/>
            <w:tcBorders>
              <w:top w:val="nil"/>
              <w:left w:val="nil"/>
              <w:bottom w:val="nil"/>
              <w:right w:val="nil"/>
            </w:tcBorders>
            <w:shd w:val="clear" w:color="000000" w:fill="FFFFFF"/>
            <w:vAlign w:val="center"/>
          </w:tcPr>
          <w:p w14:paraId="6CCBBCBB"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sz w:val="12"/>
                <w:szCs w:val="12"/>
              </w:rPr>
              <w:t>804.2</w:t>
            </w:r>
          </w:p>
        </w:tc>
        <w:tc>
          <w:tcPr>
            <w:tcW w:w="709" w:type="dxa"/>
            <w:tcBorders>
              <w:bottom w:val="nil"/>
            </w:tcBorders>
            <w:shd w:val="clear" w:color="000000" w:fill="FFFFFF"/>
            <w:vAlign w:val="center"/>
          </w:tcPr>
          <w:p w14:paraId="5F1445D9"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(1)%</w:t>
            </w:r>
          </w:p>
        </w:tc>
        <w:tc>
          <w:tcPr>
            <w:tcW w:w="819" w:type="dxa"/>
            <w:tcBorders>
              <w:bottom w:val="nil"/>
            </w:tcBorders>
            <w:shd w:val="clear" w:color="000000" w:fill="FFFFFF"/>
            <w:vAlign w:val="center"/>
          </w:tcPr>
          <w:p w14:paraId="27C86FAC"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(1)%</w:t>
            </w:r>
          </w:p>
        </w:tc>
      </w:tr>
      <w:tr w:rsidR="0044035E" w:rsidRPr="00CA4A72" w14:paraId="504722C8" w14:textId="77777777" w:rsidTr="006A1A41">
        <w:trPr>
          <w:trHeight w:val="170"/>
        </w:trPr>
        <w:tc>
          <w:tcPr>
            <w:tcW w:w="2975" w:type="dxa"/>
            <w:tcBorders>
              <w:top w:val="nil"/>
              <w:bottom w:val="single" w:sz="4" w:space="0" w:color="auto"/>
              <w:right w:val="single" w:sz="4" w:space="0" w:color="auto"/>
            </w:tcBorders>
            <w:shd w:val="clear" w:color="auto" w:fill="auto"/>
            <w:vAlign w:val="center"/>
            <w:hideMark/>
          </w:tcPr>
          <w:p w14:paraId="39FA36EC" w14:textId="77777777" w:rsidR="0044035E" w:rsidRPr="00CA4A72" w:rsidRDefault="0044035E" w:rsidP="006A1A41">
            <w:pPr>
              <w:rPr>
                <w:rFonts w:asciiTheme="minorHAnsi" w:eastAsia="Times New Roman" w:hAnsiTheme="minorHAnsi" w:cstheme="minorHAnsi"/>
                <w:sz w:val="12"/>
                <w:szCs w:val="12"/>
              </w:rPr>
            </w:pPr>
            <w:r w:rsidRPr="00CA4A72">
              <w:rPr>
                <w:rFonts w:asciiTheme="minorHAnsi" w:hAnsiTheme="minorHAnsi" w:cstheme="minorHAnsi"/>
                <w:sz w:val="12"/>
                <w:szCs w:val="12"/>
              </w:rPr>
              <w:t>Asia</w:t>
            </w:r>
          </w:p>
        </w:tc>
        <w:tc>
          <w:tcPr>
            <w:tcW w:w="907" w:type="dxa"/>
            <w:tcBorders>
              <w:top w:val="nil"/>
              <w:left w:val="single" w:sz="4" w:space="0" w:color="auto"/>
              <w:bottom w:val="single" w:sz="4" w:space="0" w:color="auto"/>
            </w:tcBorders>
            <w:shd w:val="clear" w:color="000000" w:fill="FFFFFF"/>
            <w:vAlign w:val="center"/>
          </w:tcPr>
          <w:p w14:paraId="4F19C9F5"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278.8</w:t>
            </w:r>
          </w:p>
        </w:tc>
        <w:tc>
          <w:tcPr>
            <w:tcW w:w="907" w:type="dxa"/>
            <w:tcBorders>
              <w:top w:val="nil"/>
              <w:left w:val="nil"/>
              <w:bottom w:val="single" w:sz="4" w:space="0" w:color="auto"/>
              <w:right w:val="nil"/>
            </w:tcBorders>
            <w:shd w:val="clear" w:color="000000" w:fill="FFFFFF"/>
            <w:vAlign w:val="center"/>
          </w:tcPr>
          <w:p w14:paraId="2B65AE1F"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sz w:val="12"/>
                <w:szCs w:val="12"/>
              </w:rPr>
              <w:t>272.0</w:t>
            </w:r>
          </w:p>
        </w:tc>
        <w:tc>
          <w:tcPr>
            <w:tcW w:w="752" w:type="dxa"/>
            <w:tcBorders>
              <w:top w:val="nil"/>
              <w:bottom w:val="single" w:sz="4" w:space="0" w:color="auto"/>
            </w:tcBorders>
            <w:shd w:val="clear" w:color="000000" w:fill="FFFFFF"/>
            <w:vAlign w:val="center"/>
          </w:tcPr>
          <w:p w14:paraId="76D5A73C"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2%</w:t>
            </w:r>
          </w:p>
        </w:tc>
        <w:tc>
          <w:tcPr>
            <w:tcW w:w="756" w:type="dxa"/>
            <w:tcBorders>
              <w:top w:val="nil"/>
              <w:bottom w:val="single" w:sz="4" w:space="0" w:color="auto"/>
              <w:right w:val="single" w:sz="4" w:space="0" w:color="auto"/>
            </w:tcBorders>
            <w:shd w:val="clear" w:color="000000" w:fill="FFFFFF"/>
            <w:vAlign w:val="center"/>
          </w:tcPr>
          <w:p w14:paraId="7D7DB00A"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2%</w:t>
            </w:r>
          </w:p>
        </w:tc>
        <w:tc>
          <w:tcPr>
            <w:tcW w:w="907" w:type="dxa"/>
            <w:tcBorders>
              <w:top w:val="nil"/>
              <w:left w:val="single" w:sz="4" w:space="0" w:color="auto"/>
              <w:bottom w:val="single" w:sz="4" w:space="0" w:color="auto"/>
            </w:tcBorders>
            <w:shd w:val="clear" w:color="000000" w:fill="FFFFFF"/>
            <w:vAlign w:val="center"/>
          </w:tcPr>
          <w:p w14:paraId="59D76A97"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547.9</w:t>
            </w:r>
          </w:p>
        </w:tc>
        <w:tc>
          <w:tcPr>
            <w:tcW w:w="907" w:type="dxa"/>
            <w:tcBorders>
              <w:top w:val="nil"/>
              <w:left w:val="nil"/>
              <w:bottom w:val="nil"/>
              <w:right w:val="nil"/>
            </w:tcBorders>
            <w:shd w:val="clear" w:color="000000" w:fill="FFFFFF"/>
            <w:vAlign w:val="center"/>
          </w:tcPr>
          <w:p w14:paraId="3820FF8B"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sz w:val="12"/>
                <w:szCs w:val="12"/>
              </w:rPr>
              <w:t>515.5</w:t>
            </w:r>
          </w:p>
        </w:tc>
        <w:tc>
          <w:tcPr>
            <w:tcW w:w="709" w:type="dxa"/>
            <w:tcBorders>
              <w:top w:val="nil"/>
              <w:bottom w:val="single" w:sz="4" w:space="0" w:color="auto"/>
            </w:tcBorders>
            <w:shd w:val="clear" w:color="000000" w:fill="FFFFFF"/>
            <w:vAlign w:val="center"/>
          </w:tcPr>
          <w:p w14:paraId="64F8456B"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6%</w:t>
            </w:r>
          </w:p>
        </w:tc>
        <w:tc>
          <w:tcPr>
            <w:tcW w:w="819" w:type="dxa"/>
            <w:tcBorders>
              <w:top w:val="nil"/>
              <w:bottom w:val="single" w:sz="4" w:space="0" w:color="auto"/>
            </w:tcBorders>
            <w:shd w:val="clear" w:color="000000" w:fill="FFFFFF"/>
            <w:vAlign w:val="center"/>
          </w:tcPr>
          <w:p w14:paraId="238C167B"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5%</w:t>
            </w:r>
          </w:p>
        </w:tc>
      </w:tr>
      <w:tr w:rsidR="0044035E" w:rsidRPr="00CA4A72" w14:paraId="14260A2B" w14:textId="77777777" w:rsidTr="006A1A41">
        <w:trPr>
          <w:trHeight w:val="170"/>
        </w:trPr>
        <w:tc>
          <w:tcPr>
            <w:tcW w:w="2975" w:type="dxa"/>
            <w:tcBorders>
              <w:top w:val="single" w:sz="4" w:space="0" w:color="auto"/>
              <w:bottom w:val="nil"/>
              <w:right w:val="single" w:sz="4" w:space="0" w:color="auto"/>
            </w:tcBorders>
            <w:shd w:val="clear" w:color="auto" w:fill="auto"/>
            <w:vAlign w:val="center"/>
            <w:hideMark/>
          </w:tcPr>
          <w:p w14:paraId="540E320A" w14:textId="77777777" w:rsidR="0044035E" w:rsidRPr="00CA4A72" w:rsidRDefault="0044035E" w:rsidP="006A1A41">
            <w:pPr>
              <w:rPr>
                <w:rFonts w:asciiTheme="minorHAnsi" w:eastAsia="Times New Roman" w:hAnsiTheme="minorHAnsi" w:cstheme="minorHAnsi"/>
                <w:b/>
                <w:bCs/>
                <w:sz w:val="12"/>
                <w:szCs w:val="12"/>
              </w:rPr>
            </w:pPr>
            <w:r w:rsidRPr="00CA4A72">
              <w:rPr>
                <w:rFonts w:asciiTheme="minorHAnsi" w:hAnsiTheme="minorHAnsi" w:cstheme="minorHAnsi"/>
                <w:b/>
                <w:bCs/>
                <w:sz w:val="12"/>
                <w:szCs w:val="12"/>
              </w:rPr>
              <w:t> </w:t>
            </w:r>
          </w:p>
        </w:tc>
        <w:tc>
          <w:tcPr>
            <w:tcW w:w="907" w:type="dxa"/>
            <w:tcBorders>
              <w:top w:val="single" w:sz="4" w:space="0" w:color="auto"/>
              <w:left w:val="single" w:sz="4" w:space="0" w:color="auto"/>
            </w:tcBorders>
            <w:shd w:val="clear" w:color="000000" w:fill="FFFFFF"/>
            <w:vAlign w:val="center"/>
          </w:tcPr>
          <w:p w14:paraId="3FA28C3D"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p>
        </w:tc>
        <w:tc>
          <w:tcPr>
            <w:tcW w:w="907" w:type="dxa"/>
            <w:tcBorders>
              <w:top w:val="single" w:sz="4" w:space="0" w:color="auto"/>
            </w:tcBorders>
            <w:shd w:val="clear" w:color="000000" w:fill="FFFFFF"/>
            <w:vAlign w:val="center"/>
          </w:tcPr>
          <w:p w14:paraId="59EADB7F"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p>
        </w:tc>
        <w:tc>
          <w:tcPr>
            <w:tcW w:w="752" w:type="dxa"/>
            <w:tcBorders>
              <w:top w:val="single" w:sz="4" w:space="0" w:color="auto"/>
            </w:tcBorders>
            <w:shd w:val="clear" w:color="000000" w:fill="FFFFFF"/>
            <w:vAlign w:val="center"/>
          </w:tcPr>
          <w:p w14:paraId="21F38116"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p>
        </w:tc>
        <w:tc>
          <w:tcPr>
            <w:tcW w:w="756" w:type="dxa"/>
            <w:tcBorders>
              <w:top w:val="single" w:sz="4" w:space="0" w:color="auto"/>
              <w:right w:val="single" w:sz="4" w:space="0" w:color="auto"/>
            </w:tcBorders>
            <w:shd w:val="clear" w:color="000000" w:fill="FFFFFF"/>
            <w:vAlign w:val="center"/>
          </w:tcPr>
          <w:p w14:paraId="15ABFCB1"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p>
        </w:tc>
        <w:tc>
          <w:tcPr>
            <w:tcW w:w="907" w:type="dxa"/>
            <w:tcBorders>
              <w:top w:val="single" w:sz="4" w:space="0" w:color="auto"/>
              <w:left w:val="single" w:sz="4" w:space="0" w:color="auto"/>
            </w:tcBorders>
            <w:shd w:val="clear" w:color="000000" w:fill="FFFFFF"/>
            <w:vAlign w:val="center"/>
          </w:tcPr>
          <w:p w14:paraId="0209C1A9" w14:textId="77777777" w:rsidR="0044035E" w:rsidRPr="00A455FD" w:rsidRDefault="0044035E" w:rsidP="006A1A41">
            <w:pPr>
              <w:jc w:val="right"/>
              <w:rPr>
                <w:rFonts w:asciiTheme="minorHAnsi" w:eastAsia="Times New Roman" w:hAnsiTheme="minorHAnsi" w:cstheme="minorHAnsi"/>
                <w:b/>
                <w:bCs/>
                <w:sz w:val="12"/>
                <w:szCs w:val="12"/>
              </w:rPr>
            </w:pPr>
          </w:p>
        </w:tc>
        <w:tc>
          <w:tcPr>
            <w:tcW w:w="907" w:type="dxa"/>
            <w:tcBorders>
              <w:top w:val="single" w:sz="4" w:space="0" w:color="auto"/>
            </w:tcBorders>
            <w:shd w:val="clear" w:color="000000" w:fill="FFFFFF"/>
            <w:vAlign w:val="center"/>
          </w:tcPr>
          <w:p w14:paraId="4B571C14" w14:textId="77777777" w:rsidR="0044035E" w:rsidRPr="00A455FD" w:rsidRDefault="0044035E" w:rsidP="006A1A41">
            <w:pPr>
              <w:jc w:val="right"/>
              <w:rPr>
                <w:rFonts w:asciiTheme="minorHAnsi" w:eastAsia="Times New Roman" w:hAnsiTheme="minorHAnsi" w:cstheme="minorHAnsi"/>
                <w:b/>
                <w:bCs/>
                <w:sz w:val="12"/>
                <w:szCs w:val="12"/>
              </w:rPr>
            </w:pPr>
          </w:p>
        </w:tc>
        <w:tc>
          <w:tcPr>
            <w:tcW w:w="709" w:type="dxa"/>
            <w:tcBorders>
              <w:top w:val="single" w:sz="4" w:space="0" w:color="auto"/>
            </w:tcBorders>
            <w:shd w:val="clear" w:color="000000" w:fill="FFFFFF"/>
            <w:vAlign w:val="center"/>
          </w:tcPr>
          <w:p w14:paraId="67DD0122" w14:textId="77777777" w:rsidR="0044035E" w:rsidRPr="00A455FD" w:rsidRDefault="0044035E" w:rsidP="006A1A41">
            <w:pPr>
              <w:jc w:val="right"/>
              <w:rPr>
                <w:rFonts w:asciiTheme="minorHAnsi" w:eastAsia="Times New Roman" w:hAnsiTheme="minorHAnsi" w:cstheme="minorHAnsi"/>
                <w:b/>
                <w:bCs/>
                <w:sz w:val="12"/>
                <w:szCs w:val="12"/>
              </w:rPr>
            </w:pPr>
          </w:p>
        </w:tc>
        <w:tc>
          <w:tcPr>
            <w:tcW w:w="819" w:type="dxa"/>
            <w:tcBorders>
              <w:top w:val="single" w:sz="4" w:space="0" w:color="auto"/>
            </w:tcBorders>
            <w:shd w:val="clear" w:color="000000" w:fill="FFFFFF"/>
            <w:vAlign w:val="center"/>
          </w:tcPr>
          <w:p w14:paraId="24816C57" w14:textId="77777777" w:rsidR="0044035E" w:rsidRPr="00A455FD" w:rsidRDefault="0044035E" w:rsidP="006A1A41">
            <w:pPr>
              <w:jc w:val="right"/>
              <w:rPr>
                <w:rFonts w:asciiTheme="minorHAnsi" w:eastAsia="Times New Roman" w:hAnsiTheme="minorHAnsi" w:cstheme="minorHAnsi"/>
                <w:b/>
                <w:bCs/>
                <w:sz w:val="12"/>
                <w:szCs w:val="12"/>
              </w:rPr>
            </w:pPr>
          </w:p>
        </w:tc>
      </w:tr>
      <w:tr w:rsidR="0044035E" w:rsidRPr="00CA4A72" w14:paraId="7CDB88CB" w14:textId="77777777" w:rsidTr="006A1A41">
        <w:trPr>
          <w:trHeight w:val="170"/>
        </w:trPr>
        <w:tc>
          <w:tcPr>
            <w:tcW w:w="2975" w:type="dxa"/>
            <w:tcBorders>
              <w:top w:val="nil"/>
              <w:bottom w:val="nil"/>
              <w:right w:val="single" w:sz="4" w:space="0" w:color="auto"/>
            </w:tcBorders>
            <w:shd w:val="clear" w:color="auto" w:fill="auto"/>
            <w:vAlign w:val="center"/>
            <w:hideMark/>
          </w:tcPr>
          <w:p w14:paraId="1260CED1" w14:textId="77777777" w:rsidR="0044035E" w:rsidRPr="00CA4A72" w:rsidRDefault="0044035E" w:rsidP="006A1A41">
            <w:pPr>
              <w:rPr>
                <w:rFonts w:asciiTheme="minorHAnsi" w:eastAsia="Times New Roman" w:hAnsiTheme="minorHAnsi" w:cstheme="minorHAnsi"/>
                <w:b/>
                <w:bCs/>
                <w:sz w:val="12"/>
                <w:szCs w:val="12"/>
              </w:rPr>
            </w:pPr>
            <w:r w:rsidRPr="00CA4A72">
              <w:rPr>
                <w:rFonts w:asciiTheme="minorHAnsi" w:hAnsiTheme="minorHAnsi" w:cstheme="minorHAnsi"/>
                <w:b/>
                <w:bCs/>
                <w:sz w:val="12"/>
                <w:szCs w:val="12"/>
              </w:rPr>
              <w:t>Operating income</w:t>
            </w:r>
          </w:p>
        </w:tc>
        <w:tc>
          <w:tcPr>
            <w:tcW w:w="907" w:type="dxa"/>
            <w:tcBorders>
              <w:left w:val="single" w:sz="4" w:space="0" w:color="auto"/>
            </w:tcBorders>
            <w:shd w:val="clear" w:color="000000" w:fill="FFFFFF"/>
            <w:vAlign w:val="center"/>
          </w:tcPr>
          <w:p w14:paraId="26EAEE6F"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color w:val="000000"/>
                <w:sz w:val="12"/>
                <w:szCs w:val="12"/>
              </w:rPr>
              <w:t xml:space="preserve">€ 286.2 </w:t>
            </w:r>
          </w:p>
        </w:tc>
        <w:tc>
          <w:tcPr>
            <w:tcW w:w="907" w:type="dxa"/>
            <w:tcBorders>
              <w:top w:val="nil"/>
              <w:left w:val="nil"/>
              <w:bottom w:val="nil"/>
              <w:right w:val="nil"/>
            </w:tcBorders>
            <w:shd w:val="clear" w:color="000000" w:fill="FFFFFF"/>
            <w:vAlign w:val="center"/>
          </w:tcPr>
          <w:p w14:paraId="1DC9EF3E"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sz w:val="12"/>
                <w:szCs w:val="12"/>
              </w:rPr>
              <w:t xml:space="preserve">€ 296.2 </w:t>
            </w:r>
          </w:p>
        </w:tc>
        <w:tc>
          <w:tcPr>
            <w:tcW w:w="752" w:type="dxa"/>
            <w:shd w:val="clear" w:color="000000" w:fill="FFFFFF"/>
            <w:vAlign w:val="center"/>
          </w:tcPr>
          <w:p w14:paraId="66EBEBF9"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color w:val="000000"/>
                <w:sz w:val="12"/>
                <w:szCs w:val="12"/>
              </w:rPr>
              <w:t>(3)%</w:t>
            </w:r>
          </w:p>
        </w:tc>
        <w:tc>
          <w:tcPr>
            <w:tcW w:w="756" w:type="dxa"/>
            <w:tcBorders>
              <w:right w:val="single" w:sz="4" w:space="0" w:color="auto"/>
            </w:tcBorders>
            <w:shd w:val="clear" w:color="000000" w:fill="FFFFFF"/>
            <w:vAlign w:val="center"/>
          </w:tcPr>
          <w:p w14:paraId="03C8901E"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p>
        </w:tc>
        <w:tc>
          <w:tcPr>
            <w:tcW w:w="907" w:type="dxa"/>
            <w:tcBorders>
              <w:left w:val="single" w:sz="4" w:space="0" w:color="auto"/>
            </w:tcBorders>
            <w:shd w:val="clear" w:color="000000" w:fill="FFFFFF"/>
            <w:vAlign w:val="center"/>
          </w:tcPr>
          <w:p w14:paraId="404D8E83"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color w:val="000000"/>
                <w:sz w:val="12"/>
                <w:szCs w:val="12"/>
              </w:rPr>
              <w:t xml:space="preserve">€ 620.4 </w:t>
            </w:r>
          </w:p>
        </w:tc>
        <w:tc>
          <w:tcPr>
            <w:tcW w:w="907" w:type="dxa"/>
            <w:tcBorders>
              <w:top w:val="nil"/>
              <w:left w:val="nil"/>
              <w:bottom w:val="nil"/>
              <w:right w:val="nil"/>
            </w:tcBorders>
            <w:shd w:val="clear" w:color="000000" w:fill="FFFFFF"/>
            <w:vAlign w:val="center"/>
          </w:tcPr>
          <w:p w14:paraId="7A611998"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sz w:val="12"/>
                <w:szCs w:val="12"/>
              </w:rPr>
              <w:t xml:space="preserve">€ 612.6 </w:t>
            </w:r>
          </w:p>
        </w:tc>
        <w:tc>
          <w:tcPr>
            <w:tcW w:w="709" w:type="dxa"/>
            <w:shd w:val="clear" w:color="000000" w:fill="FFFFFF"/>
            <w:vAlign w:val="center"/>
          </w:tcPr>
          <w:p w14:paraId="7A1FCC88"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color w:val="000000"/>
                <w:sz w:val="12"/>
                <w:szCs w:val="12"/>
              </w:rPr>
              <w:t>1%</w:t>
            </w:r>
          </w:p>
        </w:tc>
        <w:tc>
          <w:tcPr>
            <w:tcW w:w="819" w:type="dxa"/>
            <w:shd w:val="clear" w:color="000000" w:fill="FFFFFF"/>
            <w:vAlign w:val="center"/>
          </w:tcPr>
          <w:p w14:paraId="30F68866" w14:textId="77777777" w:rsidR="0044035E" w:rsidRPr="00A455FD" w:rsidRDefault="0044035E" w:rsidP="006A1A41">
            <w:pPr>
              <w:jc w:val="right"/>
              <w:rPr>
                <w:rFonts w:asciiTheme="minorHAnsi" w:eastAsia="Times New Roman" w:hAnsiTheme="minorHAnsi" w:cstheme="minorHAnsi"/>
                <w:b/>
                <w:bCs/>
                <w:sz w:val="12"/>
                <w:szCs w:val="12"/>
              </w:rPr>
            </w:pPr>
          </w:p>
        </w:tc>
      </w:tr>
      <w:tr w:rsidR="0044035E" w:rsidRPr="00CA4A72" w14:paraId="7FC4317E" w14:textId="77777777" w:rsidTr="006A1A41">
        <w:trPr>
          <w:trHeight w:val="170"/>
        </w:trPr>
        <w:tc>
          <w:tcPr>
            <w:tcW w:w="2975" w:type="dxa"/>
            <w:tcBorders>
              <w:top w:val="nil"/>
              <w:bottom w:val="nil"/>
              <w:right w:val="single" w:sz="4" w:space="0" w:color="auto"/>
            </w:tcBorders>
            <w:shd w:val="clear" w:color="auto" w:fill="auto"/>
            <w:vAlign w:val="center"/>
            <w:hideMark/>
          </w:tcPr>
          <w:p w14:paraId="0D1BC87D" w14:textId="77777777" w:rsidR="0044035E" w:rsidRPr="00CA4A72" w:rsidRDefault="0044035E" w:rsidP="006A1A41">
            <w:pPr>
              <w:rPr>
                <w:rFonts w:asciiTheme="minorHAnsi" w:eastAsia="Times New Roman" w:hAnsiTheme="minorHAnsi" w:cstheme="minorHAnsi"/>
                <w:b/>
                <w:bCs/>
                <w:sz w:val="12"/>
                <w:szCs w:val="12"/>
              </w:rPr>
            </w:pPr>
            <w:r w:rsidRPr="00CA4A72">
              <w:rPr>
                <w:rFonts w:asciiTheme="minorHAnsi" w:hAnsiTheme="minorHAnsi" w:cstheme="minorHAnsi"/>
                <w:b/>
                <w:bCs/>
                <w:sz w:val="12"/>
                <w:szCs w:val="12"/>
              </w:rPr>
              <w:t>Operating margin</w:t>
            </w:r>
          </w:p>
        </w:tc>
        <w:tc>
          <w:tcPr>
            <w:tcW w:w="907" w:type="dxa"/>
            <w:tcBorders>
              <w:left w:val="single" w:sz="4" w:space="0" w:color="auto"/>
            </w:tcBorders>
            <w:shd w:val="clear" w:color="000000" w:fill="FFFFFF"/>
            <w:vAlign w:val="center"/>
          </w:tcPr>
          <w:p w14:paraId="7DE716E2"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color w:val="000000"/>
                <w:sz w:val="12"/>
                <w:szCs w:val="12"/>
              </w:rPr>
              <w:t>26.7%</w:t>
            </w:r>
          </w:p>
        </w:tc>
        <w:tc>
          <w:tcPr>
            <w:tcW w:w="907" w:type="dxa"/>
            <w:tcBorders>
              <w:top w:val="nil"/>
              <w:left w:val="nil"/>
              <w:bottom w:val="nil"/>
              <w:right w:val="nil"/>
            </w:tcBorders>
            <w:shd w:val="clear" w:color="000000" w:fill="FFFFFF"/>
            <w:vAlign w:val="center"/>
          </w:tcPr>
          <w:p w14:paraId="2565D423"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sz w:val="12"/>
                <w:szCs w:val="12"/>
              </w:rPr>
              <w:t>30.7%</w:t>
            </w:r>
          </w:p>
        </w:tc>
        <w:tc>
          <w:tcPr>
            <w:tcW w:w="752" w:type="dxa"/>
            <w:shd w:val="clear" w:color="000000" w:fill="FFFFFF"/>
            <w:vAlign w:val="center"/>
          </w:tcPr>
          <w:p w14:paraId="4E881C41"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p>
        </w:tc>
        <w:tc>
          <w:tcPr>
            <w:tcW w:w="756" w:type="dxa"/>
            <w:tcBorders>
              <w:right w:val="single" w:sz="4" w:space="0" w:color="auto"/>
            </w:tcBorders>
            <w:shd w:val="clear" w:color="000000" w:fill="FFFFFF"/>
            <w:vAlign w:val="center"/>
          </w:tcPr>
          <w:p w14:paraId="56B0C5C6"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p>
        </w:tc>
        <w:tc>
          <w:tcPr>
            <w:tcW w:w="907" w:type="dxa"/>
            <w:tcBorders>
              <w:left w:val="single" w:sz="4" w:space="0" w:color="auto"/>
            </w:tcBorders>
            <w:shd w:val="clear" w:color="000000" w:fill="FFFFFF"/>
            <w:vAlign w:val="center"/>
          </w:tcPr>
          <w:p w14:paraId="56A026CD"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color w:val="000000"/>
                <w:sz w:val="12"/>
                <w:szCs w:val="12"/>
              </w:rPr>
              <w:t>28.0%</w:t>
            </w:r>
          </w:p>
        </w:tc>
        <w:tc>
          <w:tcPr>
            <w:tcW w:w="907" w:type="dxa"/>
            <w:tcBorders>
              <w:top w:val="nil"/>
              <w:left w:val="nil"/>
              <w:bottom w:val="nil"/>
              <w:right w:val="nil"/>
            </w:tcBorders>
            <w:shd w:val="clear" w:color="000000" w:fill="FFFFFF"/>
            <w:vAlign w:val="center"/>
          </w:tcPr>
          <w:p w14:paraId="58FD7990"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sz w:val="12"/>
                <w:szCs w:val="12"/>
              </w:rPr>
              <w:t>31.8%</w:t>
            </w:r>
          </w:p>
        </w:tc>
        <w:tc>
          <w:tcPr>
            <w:tcW w:w="709" w:type="dxa"/>
            <w:shd w:val="clear" w:color="000000" w:fill="FFFFFF"/>
            <w:vAlign w:val="center"/>
          </w:tcPr>
          <w:p w14:paraId="0F2D6328"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p>
        </w:tc>
        <w:tc>
          <w:tcPr>
            <w:tcW w:w="819" w:type="dxa"/>
            <w:shd w:val="clear" w:color="000000" w:fill="FFFFFF"/>
            <w:vAlign w:val="center"/>
          </w:tcPr>
          <w:p w14:paraId="5B41A0D7" w14:textId="77777777" w:rsidR="0044035E" w:rsidRPr="00A455FD" w:rsidRDefault="0044035E" w:rsidP="006A1A41">
            <w:pPr>
              <w:jc w:val="right"/>
              <w:rPr>
                <w:rFonts w:asciiTheme="minorHAnsi" w:eastAsia="Times New Roman" w:hAnsiTheme="minorHAnsi" w:cstheme="minorHAnsi"/>
                <w:b/>
                <w:bCs/>
                <w:sz w:val="12"/>
                <w:szCs w:val="12"/>
              </w:rPr>
            </w:pPr>
          </w:p>
        </w:tc>
      </w:tr>
      <w:tr w:rsidR="0044035E" w:rsidRPr="00CA4A72" w14:paraId="2B93214D" w14:textId="77777777" w:rsidTr="006A1A41">
        <w:trPr>
          <w:trHeight w:val="170"/>
        </w:trPr>
        <w:tc>
          <w:tcPr>
            <w:tcW w:w="2975" w:type="dxa"/>
            <w:tcBorders>
              <w:top w:val="nil"/>
              <w:bottom w:val="nil"/>
              <w:right w:val="single" w:sz="4" w:space="0" w:color="auto"/>
            </w:tcBorders>
            <w:shd w:val="clear" w:color="auto" w:fill="auto"/>
            <w:vAlign w:val="center"/>
          </w:tcPr>
          <w:p w14:paraId="24ABA35D" w14:textId="77777777" w:rsidR="0044035E" w:rsidRPr="00CA4A72" w:rsidRDefault="0044035E" w:rsidP="006A1A41">
            <w:pPr>
              <w:rPr>
                <w:rFonts w:asciiTheme="minorHAnsi" w:hAnsiTheme="minorHAnsi" w:cstheme="minorHAnsi"/>
                <w:b/>
                <w:bCs/>
                <w:sz w:val="12"/>
                <w:szCs w:val="12"/>
              </w:rPr>
            </w:pPr>
          </w:p>
        </w:tc>
        <w:tc>
          <w:tcPr>
            <w:tcW w:w="907" w:type="dxa"/>
            <w:tcBorders>
              <w:left w:val="single" w:sz="4" w:space="0" w:color="auto"/>
            </w:tcBorders>
            <w:shd w:val="clear" w:color="000000" w:fill="FFFFFF"/>
            <w:vAlign w:val="center"/>
          </w:tcPr>
          <w:p w14:paraId="67A6F289" w14:textId="77777777" w:rsidR="0044035E" w:rsidRPr="00A455FD" w:rsidRDefault="0044035E" w:rsidP="006A1A41">
            <w:pPr>
              <w:ind w:firstLineChars="100" w:firstLine="120"/>
              <w:jc w:val="right"/>
              <w:rPr>
                <w:rFonts w:asciiTheme="minorHAnsi" w:hAnsiTheme="minorHAnsi" w:cstheme="minorHAnsi"/>
                <w:b/>
                <w:bCs/>
                <w:sz w:val="12"/>
                <w:szCs w:val="12"/>
              </w:rPr>
            </w:pPr>
          </w:p>
        </w:tc>
        <w:tc>
          <w:tcPr>
            <w:tcW w:w="907" w:type="dxa"/>
            <w:tcBorders>
              <w:top w:val="nil"/>
              <w:left w:val="nil"/>
              <w:bottom w:val="nil"/>
              <w:right w:val="nil"/>
            </w:tcBorders>
            <w:shd w:val="clear" w:color="000000" w:fill="FFFFFF"/>
            <w:vAlign w:val="center"/>
          </w:tcPr>
          <w:p w14:paraId="0AB3641D" w14:textId="77777777" w:rsidR="0044035E" w:rsidRPr="00A455FD" w:rsidRDefault="0044035E" w:rsidP="006A1A41">
            <w:pPr>
              <w:ind w:firstLineChars="100" w:firstLine="120"/>
              <w:jc w:val="right"/>
              <w:rPr>
                <w:rFonts w:asciiTheme="minorHAnsi" w:hAnsiTheme="minorHAnsi" w:cstheme="minorHAnsi"/>
                <w:b/>
                <w:bCs/>
                <w:sz w:val="12"/>
                <w:szCs w:val="12"/>
              </w:rPr>
            </w:pPr>
            <w:r w:rsidRPr="00A455FD">
              <w:rPr>
                <w:rFonts w:asciiTheme="minorHAnsi" w:hAnsiTheme="minorHAnsi" w:cstheme="minorHAnsi"/>
                <w:b/>
                <w:bCs/>
                <w:sz w:val="12"/>
                <w:szCs w:val="12"/>
              </w:rPr>
              <w:t> </w:t>
            </w:r>
          </w:p>
        </w:tc>
        <w:tc>
          <w:tcPr>
            <w:tcW w:w="752" w:type="dxa"/>
            <w:shd w:val="clear" w:color="000000" w:fill="FFFFFF"/>
            <w:vAlign w:val="center"/>
          </w:tcPr>
          <w:p w14:paraId="1F14670E" w14:textId="77777777" w:rsidR="0044035E" w:rsidRPr="00A455FD" w:rsidRDefault="0044035E" w:rsidP="006A1A41">
            <w:pPr>
              <w:ind w:firstLineChars="100" w:firstLine="120"/>
              <w:jc w:val="right"/>
              <w:rPr>
                <w:rFonts w:asciiTheme="minorHAnsi" w:hAnsiTheme="minorHAnsi" w:cstheme="minorHAnsi"/>
                <w:b/>
                <w:bCs/>
                <w:sz w:val="12"/>
                <w:szCs w:val="12"/>
              </w:rPr>
            </w:pPr>
          </w:p>
        </w:tc>
        <w:tc>
          <w:tcPr>
            <w:tcW w:w="756" w:type="dxa"/>
            <w:tcBorders>
              <w:right w:val="single" w:sz="4" w:space="0" w:color="auto"/>
            </w:tcBorders>
            <w:shd w:val="clear" w:color="000000" w:fill="FFFFFF"/>
            <w:vAlign w:val="center"/>
          </w:tcPr>
          <w:p w14:paraId="6CC2589A" w14:textId="77777777" w:rsidR="0044035E" w:rsidRPr="00A455FD" w:rsidRDefault="0044035E" w:rsidP="006A1A41">
            <w:pPr>
              <w:ind w:firstLineChars="100" w:firstLine="120"/>
              <w:jc w:val="right"/>
              <w:rPr>
                <w:rFonts w:asciiTheme="minorHAnsi" w:hAnsiTheme="minorHAnsi" w:cstheme="minorHAnsi"/>
                <w:b/>
                <w:bCs/>
                <w:sz w:val="12"/>
                <w:szCs w:val="12"/>
              </w:rPr>
            </w:pPr>
          </w:p>
        </w:tc>
        <w:tc>
          <w:tcPr>
            <w:tcW w:w="907" w:type="dxa"/>
            <w:tcBorders>
              <w:left w:val="single" w:sz="4" w:space="0" w:color="auto"/>
            </w:tcBorders>
            <w:shd w:val="clear" w:color="000000" w:fill="FFFFFF"/>
            <w:vAlign w:val="center"/>
          </w:tcPr>
          <w:p w14:paraId="76CE07F3" w14:textId="77777777" w:rsidR="0044035E" w:rsidRPr="00A455FD" w:rsidRDefault="0044035E" w:rsidP="006A1A41">
            <w:pPr>
              <w:ind w:firstLineChars="100" w:firstLine="120"/>
              <w:jc w:val="right"/>
              <w:rPr>
                <w:rFonts w:asciiTheme="minorHAnsi" w:hAnsiTheme="minorHAnsi" w:cstheme="minorHAnsi"/>
                <w:b/>
                <w:bCs/>
                <w:sz w:val="12"/>
                <w:szCs w:val="12"/>
              </w:rPr>
            </w:pPr>
          </w:p>
        </w:tc>
        <w:tc>
          <w:tcPr>
            <w:tcW w:w="907" w:type="dxa"/>
            <w:tcBorders>
              <w:top w:val="nil"/>
              <w:left w:val="nil"/>
              <w:bottom w:val="nil"/>
              <w:right w:val="nil"/>
            </w:tcBorders>
            <w:shd w:val="clear" w:color="000000" w:fill="FFFFFF"/>
            <w:vAlign w:val="center"/>
          </w:tcPr>
          <w:p w14:paraId="5913E6CB" w14:textId="77777777" w:rsidR="0044035E" w:rsidRPr="00A455FD" w:rsidRDefault="0044035E" w:rsidP="006A1A41">
            <w:pPr>
              <w:ind w:firstLineChars="100" w:firstLine="120"/>
              <w:jc w:val="right"/>
              <w:rPr>
                <w:rFonts w:asciiTheme="minorHAnsi" w:hAnsiTheme="minorHAnsi" w:cstheme="minorHAnsi"/>
                <w:b/>
                <w:bCs/>
                <w:sz w:val="12"/>
                <w:szCs w:val="12"/>
              </w:rPr>
            </w:pPr>
            <w:r w:rsidRPr="00A455FD">
              <w:rPr>
                <w:rFonts w:asciiTheme="minorHAnsi" w:hAnsiTheme="minorHAnsi" w:cstheme="minorHAnsi"/>
                <w:b/>
                <w:bCs/>
                <w:sz w:val="12"/>
                <w:szCs w:val="12"/>
              </w:rPr>
              <w:t> </w:t>
            </w:r>
          </w:p>
        </w:tc>
        <w:tc>
          <w:tcPr>
            <w:tcW w:w="709" w:type="dxa"/>
            <w:shd w:val="clear" w:color="000000" w:fill="FFFFFF"/>
            <w:vAlign w:val="center"/>
          </w:tcPr>
          <w:p w14:paraId="6B89DAC7" w14:textId="77777777" w:rsidR="0044035E" w:rsidRPr="00A455FD" w:rsidRDefault="0044035E" w:rsidP="006A1A41">
            <w:pPr>
              <w:ind w:firstLineChars="100" w:firstLine="120"/>
              <w:jc w:val="right"/>
              <w:rPr>
                <w:rFonts w:asciiTheme="minorHAnsi" w:hAnsiTheme="minorHAnsi" w:cstheme="minorHAnsi"/>
                <w:b/>
                <w:bCs/>
                <w:sz w:val="12"/>
                <w:szCs w:val="12"/>
              </w:rPr>
            </w:pPr>
          </w:p>
        </w:tc>
        <w:tc>
          <w:tcPr>
            <w:tcW w:w="819" w:type="dxa"/>
            <w:shd w:val="clear" w:color="000000" w:fill="FFFFFF"/>
            <w:vAlign w:val="center"/>
          </w:tcPr>
          <w:p w14:paraId="229AE6C0" w14:textId="77777777" w:rsidR="0044035E" w:rsidRPr="00A455FD" w:rsidRDefault="0044035E" w:rsidP="006A1A41">
            <w:pPr>
              <w:jc w:val="right"/>
              <w:rPr>
                <w:rFonts w:asciiTheme="minorHAnsi" w:hAnsiTheme="minorHAnsi" w:cstheme="minorHAnsi"/>
                <w:b/>
                <w:bCs/>
                <w:sz w:val="12"/>
                <w:szCs w:val="12"/>
              </w:rPr>
            </w:pPr>
          </w:p>
        </w:tc>
      </w:tr>
      <w:tr w:rsidR="0044035E" w:rsidRPr="00CA4A72" w14:paraId="560A4DC3" w14:textId="77777777" w:rsidTr="006A1A41">
        <w:trPr>
          <w:trHeight w:val="170"/>
        </w:trPr>
        <w:tc>
          <w:tcPr>
            <w:tcW w:w="2975" w:type="dxa"/>
            <w:tcBorders>
              <w:top w:val="nil"/>
              <w:bottom w:val="nil"/>
              <w:right w:val="single" w:sz="4" w:space="0" w:color="auto"/>
            </w:tcBorders>
            <w:shd w:val="clear" w:color="auto" w:fill="auto"/>
            <w:vAlign w:val="center"/>
            <w:hideMark/>
          </w:tcPr>
          <w:p w14:paraId="467160BD" w14:textId="77777777" w:rsidR="0044035E" w:rsidRPr="00CA4A72" w:rsidRDefault="0044035E" w:rsidP="006A1A41">
            <w:pPr>
              <w:rPr>
                <w:rFonts w:asciiTheme="minorHAnsi" w:eastAsia="Times New Roman" w:hAnsiTheme="minorHAnsi" w:cstheme="minorHAnsi"/>
                <w:b/>
                <w:bCs/>
                <w:sz w:val="12"/>
                <w:szCs w:val="12"/>
              </w:rPr>
            </w:pPr>
            <w:r w:rsidRPr="00CA4A72">
              <w:rPr>
                <w:rFonts w:asciiTheme="minorHAnsi" w:hAnsiTheme="minorHAnsi" w:cstheme="minorHAnsi"/>
                <w:b/>
                <w:bCs/>
                <w:sz w:val="12"/>
                <w:szCs w:val="12"/>
              </w:rPr>
              <w:t>Net income attributable to shareholders</w:t>
            </w:r>
          </w:p>
        </w:tc>
        <w:tc>
          <w:tcPr>
            <w:tcW w:w="907" w:type="dxa"/>
            <w:tcBorders>
              <w:left w:val="single" w:sz="4" w:space="0" w:color="auto"/>
            </w:tcBorders>
            <w:shd w:val="clear" w:color="000000" w:fill="FFFFFF"/>
            <w:vAlign w:val="center"/>
          </w:tcPr>
          <w:p w14:paraId="0698FD5E"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color w:val="000000"/>
                <w:sz w:val="12"/>
                <w:szCs w:val="12"/>
              </w:rPr>
              <w:t xml:space="preserve">€ 211.4 </w:t>
            </w:r>
          </w:p>
        </w:tc>
        <w:tc>
          <w:tcPr>
            <w:tcW w:w="907" w:type="dxa"/>
            <w:tcBorders>
              <w:top w:val="nil"/>
              <w:left w:val="nil"/>
              <w:bottom w:val="nil"/>
              <w:right w:val="nil"/>
            </w:tcBorders>
            <w:shd w:val="clear" w:color="000000" w:fill="FFFFFF"/>
            <w:vAlign w:val="center"/>
          </w:tcPr>
          <w:p w14:paraId="363CB64C"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sz w:val="12"/>
                <w:szCs w:val="12"/>
              </w:rPr>
              <w:t xml:space="preserve">€ 214.0 </w:t>
            </w:r>
          </w:p>
        </w:tc>
        <w:tc>
          <w:tcPr>
            <w:tcW w:w="752" w:type="dxa"/>
            <w:shd w:val="clear" w:color="000000" w:fill="FFFFFF"/>
            <w:vAlign w:val="center"/>
          </w:tcPr>
          <w:p w14:paraId="522A4F76"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color w:val="000000"/>
                <w:sz w:val="12"/>
                <w:szCs w:val="12"/>
              </w:rPr>
              <w:t>(1)%</w:t>
            </w:r>
          </w:p>
        </w:tc>
        <w:tc>
          <w:tcPr>
            <w:tcW w:w="756" w:type="dxa"/>
            <w:tcBorders>
              <w:right w:val="single" w:sz="4" w:space="0" w:color="auto"/>
            </w:tcBorders>
            <w:shd w:val="clear" w:color="000000" w:fill="FFFFFF"/>
            <w:vAlign w:val="center"/>
          </w:tcPr>
          <w:p w14:paraId="3C373124"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p>
        </w:tc>
        <w:tc>
          <w:tcPr>
            <w:tcW w:w="907" w:type="dxa"/>
            <w:tcBorders>
              <w:left w:val="single" w:sz="4" w:space="0" w:color="auto"/>
            </w:tcBorders>
            <w:shd w:val="clear" w:color="000000" w:fill="FFFFFF"/>
            <w:vAlign w:val="center"/>
          </w:tcPr>
          <w:p w14:paraId="2C6512AA"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color w:val="000000"/>
                <w:sz w:val="12"/>
                <w:szCs w:val="12"/>
              </w:rPr>
              <w:t xml:space="preserve">€ 461.4 </w:t>
            </w:r>
          </w:p>
        </w:tc>
        <w:tc>
          <w:tcPr>
            <w:tcW w:w="907" w:type="dxa"/>
            <w:tcBorders>
              <w:top w:val="nil"/>
              <w:left w:val="nil"/>
              <w:bottom w:val="nil"/>
              <w:right w:val="nil"/>
            </w:tcBorders>
            <w:shd w:val="clear" w:color="000000" w:fill="FFFFFF"/>
            <w:vAlign w:val="center"/>
          </w:tcPr>
          <w:p w14:paraId="3C89BC67"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sz w:val="12"/>
                <w:szCs w:val="12"/>
              </w:rPr>
              <w:t xml:space="preserve">€ 440.5 </w:t>
            </w:r>
          </w:p>
        </w:tc>
        <w:tc>
          <w:tcPr>
            <w:tcW w:w="709" w:type="dxa"/>
            <w:shd w:val="clear" w:color="000000" w:fill="FFFFFF"/>
            <w:vAlign w:val="center"/>
          </w:tcPr>
          <w:p w14:paraId="0B0DA18C"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color w:val="000000"/>
                <w:sz w:val="12"/>
                <w:szCs w:val="12"/>
              </w:rPr>
              <w:t>5%</w:t>
            </w:r>
          </w:p>
        </w:tc>
        <w:tc>
          <w:tcPr>
            <w:tcW w:w="819" w:type="dxa"/>
            <w:shd w:val="clear" w:color="000000" w:fill="FFFFFF"/>
            <w:vAlign w:val="center"/>
          </w:tcPr>
          <w:p w14:paraId="24FB4171" w14:textId="77777777" w:rsidR="0044035E" w:rsidRPr="00A455FD" w:rsidRDefault="0044035E" w:rsidP="006A1A41">
            <w:pPr>
              <w:jc w:val="right"/>
              <w:rPr>
                <w:rFonts w:asciiTheme="minorHAnsi" w:eastAsia="Times New Roman" w:hAnsiTheme="minorHAnsi" w:cstheme="minorHAnsi"/>
                <w:b/>
                <w:bCs/>
                <w:sz w:val="12"/>
                <w:szCs w:val="12"/>
              </w:rPr>
            </w:pPr>
          </w:p>
        </w:tc>
      </w:tr>
      <w:tr w:rsidR="0044035E" w:rsidRPr="00CA4A72" w14:paraId="32688D60" w14:textId="77777777" w:rsidTr="006A1A41">
        <w:trPr>
          <w:trHeight w:val="170"/>
        </w:trPr>
        <w:tc>
          <w:tcPr>
            <w:tcW w:w="2975" w:type="dxa"/>
            <w:tcBorders>
              <w:top w:val="nil"/>
              <w:bottom w:val="nil"/>
              <w:right w:val="single" w:sz="4" w:space="0" w:color="auto"/>
            </w:tcBorders>
            <w:shd w:val="clear" w:color="auto" w:fill="auto"/>
            <w:vAlign w:val="center"/>
            <w:hideMark/>
          </w:tcPr>
          <w:p w14:paraId="64561724" w14:textId="77777777" w:rsidR="0044035E" w:rsidRPr="00CA4A72" w:rsidRDefault="0044035E" w:rsidP="006A1A41">
            <w:pPr>
              <w:rPr>
                <w:rFonts w:asciiTheme="minorHAnsi" w:eastAsia="Times New Roman" w:hAnsiTheme="minorHAnsi" w:cstheme="minorHAnsi"/>
                <w:b/>
                <w:bCs/>
                <w:sz w:val="12"/>
                <w:szCs w:val="12"/>
              </w:rPr>
            </w:pPr>
            <w:r w:rsidRPr="00CA4A72">
              <w:rPr>
                <w:rFonts w:asciiTheme="minorHAnsi" w:hAnsiTheme="minorHAnsi" w:cstheme="minorHAnsi"/>
                <w:b/>
                <w:bCs/>
                <w:sz w:val="12"/>
                <w:szCs w:val="12"/>
              </w:rPr>
              <w:t xml:space="preserve">Diluted net income per share </w:t>
            </w:r>
          </w:p>
        </w:tc>
        <w:tc>
          <w:tcPr>
            <w:tcW w:w="907" w:type="dxa"/>
            <w:tcBorders>
              <w:left w:val="single" w:sz="4" w:space="0" w:color="auto"/>
            </w:tcBorders>
            <w:shd w:val="clear" w:color="000000" w:fill="FFFFFF"/>
            <w:vAlign w:val="center"/>
          </w:tcPr>
          <w:p w14:paraId="55C2B018"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color w:val="000000"/>
                <w:sz w:val="12"/>
                <w:szCs w:val="12"/>
              </w:rPr>
              <w:t xml:space="preserve">€ 0.80 </w:t>
            </w:r>
          </w:p>
        </w:tc>
        <w:tc>
          <w:tcPr>
            <w:tcW w:w="907" w:type="dxa"/>
            <w:tcBorders>
              <w:top w:val="nil"/>
              <w:left w:val="nil"/>
              <w:bottom w:val="nil"/>
              <w:right w:val="nil"/>
            </w:tcBorders>
            <w:shd w:val="clear" w:color="000000" w:fill="FFFFFF"/>
            <w:vAlign w:val="center"/>
          </w:tcPr>
          <w:p w14:paraId="28EA77C4"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sz w:val="12"/>
                <w:szCs w:val="12"/>
              </w:rPr>
              <w:t xml:space="preserve">€ 0.82 </w:t>
            </w:r>
          </w:p>
        </w:tc>
        <w:tc>
          <w:tcPr>
            <w:tcW w:w="752" w:type="dxa"/>
            <w:shd w:val="clear" w:color="000000" w:fill="FFFFFF"/>
            <w:vAlign w:val="center"/>
          </w:tcPr>
          <w:p w14:paraId="46015506"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color w:val="000000"/>
                <w:sz w:val="12"/>
                <w:szCs w:val="12"/>
              </w:rPr>
              <w:t>(2)%</w:t>
            </w:r>
          </w:p>
        </w:tc>
        <w:tc>
          <w:tcPr>
            <w:tcW w:w="756" w:type="dxa"/>
            <w:tcBorders>
              <w:right w:val="single" w:sz="4" w:space="0" w:color="auto"/>
            </w:tcBorders>
            <w:shd w:val="clear" w:color="000000" w:fill="FFFFFF"/>
            <w:vAlign w:val="center"/>
          </w:tcPr>
          <w:p w14:paraId="3C279136"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Pr>
                <w:rFonts w:asciiTheme="minorHAnsi" w:eastAsia="Times New Roman" w:hAnsiTheme="minorHAnsi" w:cstheme="minorHAnsi"/>
                <w:b/>
                <w:bCs/>
                <w:sz w:val="12"/>
                <w:szCs w:val="12"/>
              </w:rPr>
              <w:t>(3)%</w:t>
            </w:r>
          </w:p>
        </w:tc>
        <w:tc>
          <w:tcPr>
            <w:tcW w:w="907" w:type="dxa"/>
            <w:tcBorders>
              <w:left w:val="single" w:sz="4" w:space="0" w:color="auto"/>
            </w:tcBorders>
            <w:shd w:val="clear" w:color="000000" w:fill="FFFFFF"/>
            <w:vAlign w:val="center"/>
          </w:tcPr>
          <w:p w14:paraId="54FA89C6"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color w:val="000000"/>
                <w:sz w:val="12"/>
                <w:szCs w:val="12"/>
              </w:rPr>
              <w:t xml:space="preserve">€ 1.76 </w:t>
            </w:r>
          </w:p>
        </w:tc>
        <w:tc>
          <w:tcPr>
            <w:tcW w:w="907" w:type="dxa"/>
            <w:tcBorders>
              <w:top w:val="nil"/>
              <w:left w:val="nil"/>
              <w:bottom w:val="nil"/>
              <w:right w:val="nil"/>
            </w:tcBorders>
            <w:shd w:val="clear" w:color="000000" w:fill="FFFFFF"/>
            <w:vAlign w:val="center"/>
          </w:tcPr>
          <w:p w14:paraId="2A8463DF"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sz w:val="12"/>
                <w:szCs w:val="12"/>
              </w:rPr>
              <w:t xml:space="preserve">€ 1.69 </w:t>
            </w:r>
          </w:p>
        </w:tc>
        <w:tc>
          <w:tcPr>
            <w:tcW w:w="709" w:type="dxa"/>
            <w:shd w:val="clear" w:color="000000" w:fill="FFFFFF"/>
            <w:vAlign w:val="center"/>
          </w:tcPr>
          <w:p w14:paraId="33F82DEA"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color w:val="000000"/>
                <w:sz w:val="12"/>
                <w:szCs w:val="12"/>
              </w:rPr>
              <w:t>4%</w:t>
            </w:r>
          </w:p>
        </w:tc>
        <w:tc>
          <w:tcPr>
            <w:tcW w:w="819" w:type="dxa"/>
            <w:shd w:val="clear" w:color="000000" w:fill="FFFFFF"/>
            <w:vAlign w:val="center"/>
          </w:tcPr>
          <w:p w14:paraId="530643EC" w14:textId="77777777" w:rsidR="0044035E" w:rsidRPr="00A455FD" w:rsidRDefault="0044035E" w:rsidP="006A1A41">
            <w:pPr>
              <w:jc w:val="right"/>
              <w:rPr>
                <w:rFonts w:asciiTheme="minorHAnsi" w:eastAsia="Times New Roman" w:hAnsiTheme="minorHAnsi" w:cstheme="minorHAnsi"/>
                <w:b/>
                <w:bCs/>
                <w:sz w:val="12"/>
                <w:szCs w:val="12"/>
              </w:rPr>
            </w:pPr>
            <w:r>
              <w:rPr>
                <w:rFonts w:asciiTheme="minorHAnsi" w:eastAsia="Times New Roman" w:hAnsiTheme="minorHAnsi" w:cstheme="minorHAnsi"/>
                <w:b/>
                <w:bCs/>
                <w:sz w:val="12"/>
                <w:szCs w:val="12"/>
              </w:rPr>
              <w:t>2%</w:t>
            </w:r>
          </w:p>
        </w:tc>
      </w:tr>
      <w:tr w:rsidR="0044035E" w:rsidRPr="00CA4A72" w14:paraId="5ED3D37B" w14:textId="77777777" w:rsidTr="006A1A41">
        <w:trPr>
          <w:trHeight w:val="170"/>
        </w:trPr>
        <w:tc>
          <w:tcPr>
            <w:tcW w:w="2975" w:type="dxa"/>
            <w:tcBorders>
              <w:top w:val="nil"/>
              <w:bottom w:val="single" w:sz="4" w:space="0" w:color="auto"/>
              <w:right w:val="single" w:sz="4" w:space="0" w:color="auto"/>
            </w:tcBorders>
            <w:shd w:val="clear" w:color="auto" w:fill="auto"/>
            <w:vAlign w:val="center"/>
          </w:tcPr>
          <w:p w14:paraId="70047124" w14:textId="77777777" w:rsidR="0044035E" w:rsidRPr="00CA4A72" w:rsidRDefault="0044035E" w:rsidP="006A1A41">
            <w:pPr>
              <w:rPr>
                <w:rFonts w:asciiTheme="minorHAnsi" w:hAnsiTheme="minorHAnsi" w:cstheme="minorHAnsi"/>
                <w:b/>
                <w:bCs/>
                <w:sz w:val="12"/>
                <w:szCs w:val="12"/>
              </w:rPr>
            </w:pPr>
          </w:p>
        </w:tc>
        <w:tc>
          <w:tcPr>
            <w:tcW w:w="907" w:type="dxa"/>
            <w:tcBorders>
              <w:left w:val="single" w:sz="4" w:space="0" w:color="auto"/>
              <w:bottom w:val="single" w:sz="4" w:space="0" w:color="auto"/>
            </w:tcBorders>
            <w:shd w:val="clear" w:color="000000" w:fill="FFFFFF"/>
            <w:vAlign w:val="center"/>
          </w:tcPr>
          <w:p w14:paraId="7575670A"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p>
        </w:tc>
        <w:tc>
          <w:tcPr>
            <w:tcW w:w="907" w:type="dxa"/>
            <w:tcBorders>
              <w:bottom w:val="single" w:sz="4" w:space="0" w:color="auto"/>
            </w:tcBorders>
            <w:shd w:val="clear" w:color="000000" w:fill="FFFFFF"/>
            <w:vAlign w:val="center"/>
          </w:tcPr>
          <w:p w14:paraId="33FED94E"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p>
        </w:tc>
        <w:tc>
          <w:tcPr>
            <w:tcW w:w="752" w:type="dxa"/>
            <w:tcBorders>
              <w:bottom w:val="single" w:sz="4" w:space="0" w:color="auto"/>
            </w:tcBorders>
            <w:shd w:val="clear" w:color="000000" w:fill="FFFFFF"/>
            <w:vAlign w:val="center"/>
          </w:tcPr>
          <w:p w14:paraId="52E343C0"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p>
        </w:tc>
        <w:tc>
          <w:tcPr>
            <w:tcW w:w="756" w:type="dxa"/>
            <w:tcBorders>
              <w:bottom w:val="single" w:sz="4" w:space="0" w:color="auto"/>
              <w:right w:val="single" w:sz="4" w:space="0" w:color="auto"/>
            </w:tcBorders>
            <w:shd w:val="clear" w:color="000000" w:fill="FFFFFF"/>
            <w:vAlign w:val="center"/>
          </w:tcPr>
          <w:p w14:paraId="73AB025A"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p>
        </w:tc>
        <w:tc>
          <w:tcPr>
            <w:tcW w:w="907" w:type="dxa"/>
            <w:tcBorders>
              <w:left w:val="single" w:sz="4" w:space="0" w:color="auto"/>
              <w:bottom w:val="single" w:sz="4" w:space="0" w:color="auto"/>
            </w:tcBorders>
            <w:shd w:val="clear" w:color="000000" w:fill="FFFFFF"/>
            <w:vAlign w:val="center"/>
          </w:tcPr>
          <w:p w14:paraId="02861C3A"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p>
        </w:tc>
        <w:tc>
          <w:tcPr>
            <w:tcW w:w="907" w:type="dxa"/>
            <w:tcBorders>
              <w:bottom w:val="single" w:sz="4" w:space="0" w:color="auto"/>
            </w:tcBorders>
            <w:shd w:val="clear" w:color="000000" w:fill="FFFFFF"/>
            <w:vAlign w:val="center"/>
          </w:tcPr>
          <w:p w14:paraId="6DF59557"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p>
        </w:tc>
        <w:tc>
          <w:tcPr>
            <w:tcW w:w="709" w:type="dxa"/>
            <w:tcBorders>
              <w:bottom w:val="single" w:sz="4" w:space="0" w:color="auto"/>
            </w:tcBorders>
            <w:shd w:val="clear" w:color="000000" w:fill="FFFFFF"/>
            <w:vAlign w:val="center"/>
          </w:tcPr>
          <w:p w14:paraId="016F1443"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p>
        </w:tc>
        <w:tc>
          <w:tcPr>
            <w:tcW w:w="819" w:type="dxa"/>
            <w:tcBorders>
              <w:bottom w:val="single" w:sz="4" w:space="0" w:color="auto"/>
            </w:tcBorders>
            <w:shd w:val="clear" w:color="000000" w:fill="FFFFFF"/>
            <w:vAlign w:val="center"/>
          </w:tcPr>
          <w:p w14:paraId="1D68F6E1" w14:textId="77777777" w:rsidR="0044035E" w:rsidRPr="00A455FD" w:rsidRDefault="0044035E" w:rsidP="006A1A41">
            <w:pPr>
              <w:jc w:val="right"/>
              <w:rPr>
                <w:rFonts w:asciiTheme="minorHAnsi" w:eastAsia="Times New Roman" w:hAnsiTheme="minorHAnsi" w:cstheme="minorHAnsi"/>
                <w:b/>
                <w:bCs/>
                <w:sz w:val="12"/>
                <w:szCs w:val="12"/>
              </w:rPr>
            </w:pPr>
          </w:p>
        </w:tc>
      </w:tr>
      <w:tr w:rsidR="0044035E" w:rsidRPr="00CA4A72" w14:paraId="010816C6" w14:textId="77777777" w:rsidTr="006A1A41">
        <w:trPr>
          <w:trHeight w:val="170"/>
        </w:trPr>
        <w:tc>
          <w:tcPr>
            <w:tcW w:w="2975" w:type="dxa"/>
            <w:tcBorders>
              <w:top w:val="single" w:sz="4" w:space="0" w:color="auto"/>
              <w:bottom w:val="single" w:sz="4" w:space="0" w:color="auto"/>
              <w:right w:val="single" w:sz="4" w:space="0" w:color="auto"/>
            </w:tcBorders>
            <w:shd w:val="clear" w:color="auto" w:fill="auto"/>
            <w:vAlign w:val="center"/>
            <w:hideMark/>
          </w:tcPr>
          <w:p w14:paraId="7F64EE6F" w14:textId="77777777" w:rsidR="0044035E" w:rsidRPr="00CA4A72" w:rsidRDefault="0044035E" w:rsidP="006A1A41">
            <w:pPr>
              <w:rPr>
                <w:rFonts w:asciiTheme="minorHAnsi" w:eastAsia="Times New Roman" w:hAnsiTheme="minorHAnsi" w:cstheme="minorHAnsi"/>
                <w:b/>
                <w:bCs/>
                <w:sz w:val="12"/>
                <w:szCs w:val="12"/>
              </w:rPr>
            </w:pPr>
            <w:r w:rsidRPr="00CA4A72">
              <w:rPr>
                <w:rFonts w:asciiTheme="minorHAnsi" w:hAnsiTheme="minorHAnsi" w:cstheme="minorHAnsi"/>
                <w:b/>
                <w:bCs/>
                <w:sz w:val="12"/>
                <w:szCs w:val="12"/>
              </w:rPr>
              <w:t>Closing headcount</w:t>
            </w:r>
          </w:p>
        </w:tc>
        <w:tc>
          <w:tcPr>
            <w:tcW w:w="907" w:type="dxa"/>
            <w:tcBorders>
              <w:top w:val="single" w:sz="4" w:space="0" w:color="auto"/>
              <w:left w:val="single" w:sz="4" w:space="0" w:color="auto"/>
              <w:bottom w:val="single" w:sz="4" w:space="0" w:color="auto"/>
              <w:right w:val="nil"/>
            </w:tcBorders>
            <w:shd w:val="clear" w:color="000000" w:fill="FFFFFF"/>
            <w:vAlign w:val="center"/>
          </w:tcPr>
          <w:p w14:paraId="5E1C0B43" w14:textId="77777777" w:rsidR="0044035E" w:rsidRPr="00A455FD" w:rsidRDefault="0044035E" w:rsidP="006A1A41">
            <w:pPr>
              <w:ind w:firstLineChars="100" w:firstLine="120"/>
              <w:jc w:val="right"/>
              <w:rPr>
                <w:rFonts w:asciiTheme="minorHAnsi" w:eastAsia="Times New Roman" w:hAnsiTheme="minorHAnsi" w:cstheme="minorHAnsi"/>
                <w:b/>
                <w:bCs/>
                <w:color w:val="000000"/>
                <w:sz w:val="12"/>
                <w:szCs w:val="12"/>
              </w:rPr>
            </w:pPr>
            <w:r w:rsidRPr="00A455FD">
              <w:rPr>
                <w:rFonts w:asciiTheme="minorHAnsi" w:hAnsiTheme="minorHAnsi" w:cstheme="minorHAnsi"/>
                <w:b/>
                <w:bCs/>
                <w:color w:val="000000"/>
                <w:sz w:val="12"/>
                <w:szCs w:val="12"/>
              </w:rPr>
              <w:t xml:space="preserve">21,443 </w:t>
            </w:r>
          </w:p>
        </w:tc>
        <w:tc>
          <w:tcPr>
            <w:tcW w:w="907" w:type="dxa"/>
            <w:tcBorders>
              <w:top w:val="single" w:sz="4" w:space="0" w:color="auto"/>
              <w:left w:val="nil"/>
              <w:bottom w:val="single" w:sz="4" w:space="0" w:color="auto"/>
              <w:right w:val="nil"/>
            </w:tcBorders>
            <w:shd w:val="clear" w:color="000000" w:fill="FFFFFF"/>
            <w:vAlign w:val="center"/>
          </w:tcPr>
          <w:p w14:paraId="74E8FBC1" w14:textId="77777777" w:rsidR="0044035E" w:rsidRPr="00A455FD" w:rsidRDefault="0044035E" w:rsidP="006A1A41">
            <w:pPr>
              <w:ind w:firstLineChars="100" w:firstLine="120"/>
              <w:jc w:val="right"/>
              <w:rPr>
                <w:rFonts w:asciiTheme="minorHAnsi" w:eastAsia="Times New Roman" w:hAnsiTheme="minorHAnsi" w:cstheme="minorHAnsi"/>
                <w:b/>
                <w:bCs/>
                <w:color w:val="000000"/>
                <w:sz w:val="12"/>
                <w:szCs w:val="12"/>
              </w:rPr>
            </w:pPr>
            <w:r w:rsidRPr="00A455FD">
              <w:rPr>
                <w:rFonts w:asciiTheme="minorHAnsi" w:eastAsia="Times New Roman" w:hAnsiTheme="minorHAnsi" w:cstheme="minorHAnsi"/>
                <w:b/>
                <w:bCs/>
                <w:color w:val="000000"/>
                <w:sz w:val="12"/>
                <w:szCs w:val="12"/>
              </w:rPr>
              <w:t>17,623</w:t>
            </w:r>
          </w:p>
        </w:tc>
        <w:tc>
          <w:tcPr>
            <w:tcW w:w="752" w:type="dxa"/>
            <w:tcBorders>
              <w:top w:val="single" w:sz="4" w:space="0" w:color="auto"/>
              <w:left w:val="nil"/>
              <w:bottom w:val="single" w:sz="4" w:space="0" w:color="auto"/>
              <w:right w:val="nil"/>
            </w:tcBorders>
            <w:shd w:val="clear" w:color="000000" w:fill="FFFFFF"/>
            <w:vAlign w:val="center"/>
          </w:tcPr>
          <w:p w14:paraId="290F02F7"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color w:val="000000"/>
                <w:sz w:val="12"/>
                <w:szCs w:val="12"/>
              </w:rPr>
              <w:t>22%</w:t>
            </w:r>
          </w:p>
        </w:tc>
        <w:tc>
          <w:tcPr>
            <w:tcW w:w="756" w:type="dxa"/>
            <w:tcBorders>
              <w:top w:val="single" w:sz="4" w:space="0" w:color="auto"/>
              <w:left w:val="nil"/>
              <w:bottom w:val="single" w:sz="4" w:space="0" w:color="auto"/>
              <w:right w:val="single" w:sz="4" w:space="0" w:color="auto"/>
            </w:tcBorders>
            <w:shd w:val="clear" w:color="000000" w:fill="FFFFFF"/>
            <w:vAlign w:val="center"/>
          </w:tcPr>
          <w:p w14:paraId="3FF18E47" w14:textId="77777777" w:rsidR="0044035E" w:rsidRPr="00A455FD" w:rsidRDefault="0044035E" w:rsidP="006A1A41">
            <w:pPr>
              <w:jc w:val="right"/>
              <w:rPr>
                <w:rFonts w:asciiTheme="minorHAnsi" w:eastAsia="Times New Roman" w:hAnsiTheme="minorHAnsi" w:cstheme="minorHAnsi"/>
                <w:b/>
                <w:bCs/>
                <w:sz w:val="12"/>
                <w:szCs w:val="12"/>
              </w:rPr>
            </w:pPr>
          </w:p>
        </w:tc>
        <w:tc>
          <w:tcPr>
            <w:tcW w:w="907" w:type="dxa"/>
            <w:tcBorders>
              <w:top w:val="single" w:sz="4" w:space="0" w:color="auto"/>
              <w:left w:val="single" w:sz="4" w:space="0" w:color="auto"/>
              <w:bottom w:val="single" w:sz="4" w:space="0" w:color="auto"/>
              <w:right w:val="nil"/>
            </w:tcBorders>
            <w:shd w:val="clear" w:color="000000" w:fill="FFFFFF"/>
            <w:vAlign w:val="center"/>
          </w:tcPr>
          <w:p w14:paraId="30EC1DC0"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color w:val="000000"/>
                <w:sz w:val="12"/>
                <w:szCs w:val="12"/>
              </w:rPr>
              <w:t xml:space="preserve">21,443 </w:t>
            </w:r>
          </w:p>
        </w:tc>
        <w:tc>
          <w:tcPr>
            <w:tcW w:w="907" w:type="dxa"/>
            <w:tcBorders>
              <w:top w:val="single" w:sz="4" w:space="0" w:color="auto"/>
              <w:left w:val="nil"/>
              <w:bottom w:val="single" w:sz="4" w:space="0" w:color="auto"/>
              <w:right w:val="nil"/>
            </w:tcBorders>
            <w:shd w:val="clear" w:color="000000" w:fill="FFFFFF"/>
            <w:vAlign w:val="center"/>
          </w:tcPr>
          <w:p w14:paraId="6D3E0E10"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eastAsia="Times New Roman" w:hAnsiTheme="minorHAnsi" w:cstheme="minorHAnsi"/>
                <w:b/>
                <w:bCs/>
                <w:sz w:val="12"/>
                <w:szCs w:val="12"/>
              </w:rPr>
              <w:t>17,623</w:t>
            </w:r>
          </w:p>
        </w:tc>
        <w:tc>
          <w:tcPr>
            <w:tcW w:w="709" w:type="dxa"/>
            <w:tcBorders>
              <w:top w:val="single" w:sz="4" w:space="0" w:color="auto"/>
              <w:left w:val="nil"/>
              <w:bottom w:val="single" w:sz="4" w:space="0" w:color="auto"/>
              <w:right w:val="nil"/>
            </w:tcBorders>
            <w:shd w:val="clear" w:color="000000" w:fill="FFFFFF"/>
            <w:vAlign w:val="center"/>
          </w:tcPr>
          <w:p w14:paraId="00AE6850" w14:textId="77777777" w:rsidR="0044035E" w:rsidRPr="00A455FD" w:rsidRDefault="0044035E" w:rsidP="006A1A41">
            <w:pPr>
              <w:ind w:firstLineChars="100" w:firstLine="120"/>
              <w:jc w:val="right"/>
              <w:rPr>
                <w:rFonts w:asciiTheme="minorHAnsi" w:eastAsia="Times New Roman" w:hAnsiTheme="minorHAnsi" w:cstheme="minorHAnsi"/>
                <w:b/>
                <w:bCs/>
                <w:sz w:val="12"/>
                <w:szCs w:val="12"/>
              </w:rPr>
            </w:pPr>
            <w:r w:rsidRPr="00A455FD">
              <w:rPr>
                <w:rFonts w:asciiTheme="minorHAnsi" w:hAnsiTheme="minorHAnsi" w:cstheme="minorHAnsi"/>
                <w:b/>
                <w:bCs/>
                <w:color w:val="000000"/>
                <w:sz w:val="12"/>
                <w:szCs w:val="12"/>
              </w:rPr>
              <w:t>22%</w:t>
            </w:r>
          </w:p>
        </w:tc>
        <w:tc>
          <w:tcPr>
            <w:tcW w:w="819" w:type="dxa"/>
            <w:tcBorders>
              <w:top w:val="single" w:sz="4" w:space="0" w:color="auto"/>
              <w:left w:val="nil"/>
              <w:bottom w:val="single" w:sz="4" w:space="0" w:color="auto"/>
            </w:tcBorders>
            <w:shd w:val="clear" w:color="000000" w:fill="FFFFFF"/>
            <w:vAlign w:val="center"/>
          </w:tcPr>
          <w:p w14:paraId="3DE47923" w14:textId="77777777" w:rsidR="0044035E" w:rsidRPr="00A455FD" w:rsidRDefault="0044035E" w:rsidP="006A1A41">
            <w:pPr>
              <w:jc w:val="right"/>
              <w:rPr>
                <w:rFonts w:asciiTheme="minorHAnsi" w:eastAsia="Times New Roman" w:hAnsiTheme="minorHAnsi" w:cstheme="minorHAnsi"/>
                <w:b/>
                <w:bCs/>
                <w:sz w:val="12"/>
                <w:szCs w:val="12"/>
              </w:rPr>
            </w:pPr>
          </w:p>
        </w:tc>
      </w:tr>
      <w:tr w:rsidR="0044035E" w:rsidRPr="00CA4A72" w14:paraId="07FE6F41" w14:textId="77777777" w:rsidTr="006A1A41">
        <w:trPr>
          <w:trHeight w:val="170"/>
        </w:trPr>
        <w:tc>
          <w:tcPr>
            <w:tcW w:w="2975" w:type="dxa"/>
            <w:tcBorders>
              <w:top w:val="single" w:sz="4" w:space="0" w:color="auto"/>
              <w:bottom w:val="nil"/>
              <w:right w:val="single" w:sz="4" w:space="0" w:color="auto"/>
            </w:tcBorders>
            <w:shd w:val="clear" w:color="auto" w:fill="auto"/>
            <w:vAlign w:val="center"/>
            <w:hideMark/>
          </w:tcPr>
          <w:p w14:paraId="2E5E6DD1" w14:textId="77777777" w:rsidR="0044035E" w:rsidRPr="00CA4A72" w:rsidRDefault="0044035E" w:rsidP="006A1A41">
            <w:pPr>
              <w:rPr>
                <w:rFonts w:asciiTheme="minorHAnsi" w:eastAsia="Times New Roman" w:hAnsiTheme="minorHAnsi" w:cstheme="minorHAnsi"/>
                <w:sz w:val="12"/>
                <w:szCs w:val="12"/>
              </w:rPr>
            </w:pPr>
            <w:r w:rsidRPr="00CA4A72">
              <w:rPr>
                <w:rFonts w:asciiTheme="minorHAnsi" w:hAnsiTheme="minorHAnsi" w:cstheme="minorHAnsi"/>
                <w:sz w:val="12"/>
                <w:szCs w:val="12"/>
              </w:rPr>
              <w:t> </w:t>
            </w:r>
          </w:p>
        </w:tc>
        <w:tc>
          <w:tcPr>
            <w:tcW w:w="907" w:type="dxa"/>
            <w:tcBorders>
              <w:top w:val="single" w:sz="4" w:space="0" w:color="auto"/>
              <w:left w:val="single" w:sz="4" w:space="0" w:color="auto"/>
            </w:tcBorders>
            <w:shd w:val="clear" w:color="000000" w:fill="FFFFFF"/>
            <w:vAlign w:val="center"/>
          </w:tcPr>
          <w:p w14:paraId="77A7B421"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p>
        </w:tc>
        <w:tc>
          <w:tcPr>
            <w:tcW w:w="907" w:type="dxa"/>
            <w:tcBorders>
              <w:top w:val="single" w:sz="4" w:space="0" w:color="auto"/>
            </w:tcBorders>
            <w:shd w:val="clear" w:color="000000" w:fill="FFFFFF"/>
            <w:vAlign w:val="center"/>
          </w:tcPr>
          <w:p w14:paraId="77B64D15"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p>
        </w:tc>
        <w:tc>
          <w:tcPr>
            <w:tcW w:w="752" w:type="dxa"/>
            <w:tcBorders>
              <w:top w:val="single" w:sz="4" w:space="0" w:color="auto"/>
            </w:tcBorders>
            <w:shd w:val="clear" w:color="000000" w:fill="FFFFFF"/>
            <w:vAlign w:val="center"/>
          </w:tcPr>
          <w:p w14:paraId="27B8273A"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p>
        </w:tc>
        <w:tc>
          <w:tcPr>
            <w:tcW w:w="756" w:type="dxa"/>
            <w:tcBorders>
              <w:top w:val="single" w:sz="4" w:space="0" w:color="auto"/>
              <w:right w:val="single" w:sz="4" w:space="0" w:color="auto"/>
            </w:tcBorders>
            <w:shd w:val="clear" w:color="000000" w:fill="FFFFFF"/>
            <w:vAlign w:val="center"/>
          </w:tcPr>
          <w:p w14:paraId="5EC594A4"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p>
        </w:tc>
        <w:tc>
          <w:tcPr>
            <w:tcW w:w="907" w:type="dxa"/>
            <w:tcBorders>
              <w:top w:val="single" w:sz="4" w:space="0" w:color="auto"/>
              <w:left w:val="single" w:sz="4" w:space="0" w:color="auto"/>
            </w:tcBorders>
            <w:shd w:val="clear" w:color="000000" w:fill="FFFFFF"/>
            <w:vAlign w:val="center"/>
          </w:tcPr>
          <w:p w14:paraId="5CE436BC" w14:textId="77777777" w:rsidR="0044035E" w:rsidRPr="00A455FD" w:rsidRDefault="0044035E" w:rsidP="006A1A41">
            <w:pPr>
              <w:jc w:val="right"/>
              <w:rPr>
                <w:rFonts w:asciiTheme="minorHAnsi" w:eastAsia="Times New Roman" w:hAnsiTheme="minorHAnsi" w:cstheme="minorHAnsi"/>
                <w:sz w:val="12"/>
                <w:szCs w:val="12"/>
              </w:rPr>
            </w:pPr>
          </w:p>
        </w:tc>
        <w:tc>
          <w:tcPr>
            <w:tcW w:w="907" w:type="dxa"/>
            <w:tcBorders>
              <w:top w:val="single" w:sz="4" w:space="0" w:color="auto"/>
            </w:tcBorders>
            <w:shd w:val="clear" w:color="000000" w:fill="FFFFFF"/>
            <w:vAlign w:val="center"/>
          </w:tcPr>
          <w:p w14:paraId="3A14BE5D" w14:textId="77777777" w:rsidR="0044035E" w:rsidRPr="00A455FD" w:rsidRDefault="0044035E" w:rsidP="006A1A41">
            <w:pPr>
              <w:jc w:val="right"/>
              <w:rPr>
                <w:rFonts w:asciiTheme="minorHAnsi" w:eastAsia="Times New Roman" w:hAnsiTheme="minorHAnsi" w:cstheme="minorHAnsi"/>
                <w:sz w:val="12"/>
                <w:szCs w:val="12"/>
              </w:rPr>
            </w:pPr>
          </w:p>
        </w:tc>
        <w:tc>
          <w:tcPr>
            <w:tcW w:w="709" w:type="dxa"/>
            <w:tcBorders>
              <w:top w:val="single" w:sz="4" w:space="0" w:color="auto"/>
            </w:tcBorders>
            <w:shd w:val="clear" w:color="000000" w:fill="FFFFFF"/>
            <w:vAlign w:val="center"/>
          </w:tcPr>
          <w:p w14:paraId="48D7B71F" w14:textId="77777777" w:rsidR="0044035E" w:rsidRPr="00A455FD" w:rsidRDefault="0044035E" w:rsidP="006A1A41">
            <w:pPr>
              <w:jc w:val="right"/>
              <w:rPr>
                <w:rFonts w:asciiTheme="minorHAnsi" w:eastAsia="Times New Roman" w:hAnsiTheme="minorHAnsi" w:cstheme="minorHAnsi"/>
                <w:sz w:val="12"/>
                <w:szCs w:val="12"/>
              </w:rPr>
            </w:pPr>
          </w:p>
        </w:tc>
        <w:tc>
          <w:tcPr>
            <w:tcW w:w="819" w:type="dxa"/>
            <w:tcBorders>
              <w:top w:val="single" w:sz="4" w:space="0" w:color="auto"/>
            </w:tcBorders>
            <w:shd w:val="clear" w:color="000000" w:fill="FFFFFF"/>
            <w:vAlign w:val="center"/>
          </w:tcPr>
          <w:p w14:paraId="16990917" w14:textId="77777777" w:rsidR="0044035E" w:rsidRPr="00A455FD" w:rsidRDefault="0044035E" w:rsidP="006A1A41">
            <w:pPr>
              <w:jc w:val="right"/>
              <w:rPr>
                <w:rFonts w:asciiTheme="minorHAnsi" w:eastAsia="Times New Roman" w:hAnsiTheme="minorHAnsi" w:cstheme="minorHAnsi"/>
                <w:sz w:val="12"/>
                <w:szCs w:val="12"/>
              </w:rPr>
            </w:pPr>
          </w:p>
        </w:tc>
      </w:tr>
      <w:tr w:rsidR="0044035E" w:rsidRPr="00CA4A72" w14:paraId="5DB2CE90" w14:textId="77777777" w:rsidTr="006A1A41">
        <w:trPr>
          <w:trHeight w:val="170"/>
        </w:trPr>
        <w:tc>
          <w:tcPr>
            <w:tcW w:w="2975" w:type="dxa"/>
            <w:tcBorders>
              <w:top w:val="nil"/>
              <w:bottom w:val="nil"/>
              <w:right w:val="single" w:sz="4" w:space="0" w:color="auto"/>
            </w:tcBorders>
            <w:shd w:val="clear" w:color="auto" w:fill="auto"/>
            <w:vAlign w:val="center"/>
            <w:hideMark/>
          </w:tcPr>
          <w:p w14:paraId="46FED76C" w14:textId="77777777" w:rsidR="0044035E" w:rsidRPr="00CA4A72" w:rsidRDefault="0044035E" w:rsidP="006A1A41">
            <w:pPr>
              <w:rPr>
                <w:rFonts w:asciiTheme="minorHAnsi" w:eastAsia="Times New Roman" w:hAnsiTheme="minorHAnsi" w:cstheme="minorHAnsi"/>
                <w:sz w:val="12"/>
                <w:szCs w:val="12"/>
              </w:rPr>
            </w:pPr>
            <w:r w:rsidRPr="00CA4A72">
              <w:rPr>
                <w:rFonts w:asciiTheme="minorHAnsi" w:hAnsiTheme="minorHAnsi" w:cstheme="minorHAnsi"/>
                <w:sz w:val="12"/>
                <w:szCs w:val="12"/>
              </w:rPr>
              <w:t>Average Rate USD per Euro</w:t>
            </w:r>
          </w:p>
        </w:tc>
        <w:tc>
          <w:tcPr>
            <w:tcW w:w="907" w:type="dxa"/>
            <w:tcBorders>
              <w:left w:val="single" w:sz="4" w:space="0" w:color="auto"/>
            </w:tcBorders>
            <w:shd w:val="clear" w:color="auto" w:fill="auto"/>
            <w:vAlign w:val="center"/>
          </w:tcPr>
          <w:p w14:paraId="399B16A9"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1.10</w:t>
            </w:r>
          </w:p>
        </w:tc>
        <w:tc>
          <w:tcPr>
            <w:tcW w:w="907" w:type="dxa"/>
            <w:shd w:val="clear" w:color="auto" w:fill="auto"/>
            <w:vAlign w:val="center"/>
          </w:tcPr>
          <w:p w14:paraId="0DC135BA"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eastAsia="Times New Roman" w:hAnsiTheme="minorHAnsi" w:cstheme="minorHAnsi"/>
                <w:sz w:val="12"/>
                <w:szCs w:val="12"/>
              </w:rPr>
              <w:t>1.12</w:t>
            </w:r>
          </w:p>
        </w:tc>
        <w:tc>
          <w:tcPr>
            <w:tcW w:w="752" w:type="dxa"/>
            <w:shd w:val="clear" w:color="auto" w:fill="auto"/>
            <w:vAlign w:val="center"/>
          </w:tcPr>
          <w:p w14:paraId="4836DC5D"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(2)%</w:t>
            </w:r>
          </w:p>
        </w:tc>
        <w:tc>
          <w:tcPr>
            <w:tcW w:w="756" w:type="dxa"/>
            <w:tcBorders>
              <w:right w:val="single" w:sz="4" w:space="0" w:color="auto"/>
            </w:tcBorders>
            <w:shd w:val="clear" w:color="auto" w:fill="auto"/>
            <w:vAlign w:val="center"/>
          </w:tcPr>
          <w:p w14:paraId="7BB0B3AC"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p>
        </w:tc>
        <w:tc>
          <w:tcPr>
            <w:tcW w:w="907" w:type="dxa"/>
            <w:tcBorders>
              <w:left w:val="single" w:sz="4" w:space="0" w:color="auto"/>
            </w:tcBorders>
            <w:shd w:val="clear" w:color="auto" w:fill="auto"/>
            <w:vAlign w:val="center"/>
          </w:tcPr>
          <w:p w14:paraId="44E9D029"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1.10</w:t>
            </w:r>
          </w:p>
        </w:tc>
        <w:tc>
          <w:tcPr>
            <w:tcW w:w="907" w:type="dxa"/>
            <w:shd w:val="clear" w:color="auto" w:fill="auto"/>
            <w:vAlign w:val="center"/>
          </w:tcPr>
          <w:p w14:paraId="58E38657"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eastAsia="Times New Roman" w:hAnsiTheme="minorHAnsi" w:cstheme="minorHAnsi"/>
                <w:sz w:val="12"/>
                <w:szCs w:val="12"/>
              </w:rPr>
              <w:t>1.13</w:t>
            </w:r>
          </w:p>
        </w:tc>
        <w:tc>
          <w:tcPr>
            <w:tcW w:w="709" w:type="dxa"/>
            <w:shd w:val="clear" w:color="000000" w:fill="FFFFFF"/>
            <w:vAlign w:val="center"/>
          </w:tcPr>
          <w:p w14:paraId="2BA5A274"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(3)%</w:t>
            </w:r>
          </w:p>
        </w:tc>
        <w:tc>
          <w:tcPr>
            <w:tcW w:w="819" w:type="dxa"/>
            <w:shd w:val="clear" w:color="000000" w:fill="FFFFFF"/>
            <w:vAlign w:val="center"/>
          </w:tcPr>
          <w:p w14:paraId="0C5616BB" w14:textId="77777777" w:rsidR="0044035E" w:rsidRPr="00A455FD" w:rsidRDefault="0044035E" w:rsidP="006A1A41">
            <w:pPr>
              <w:jc w:val="right"/>
              <w:rPr>
                <w:rFonts w:asciiTheme="minorHAnsi" w:eastAsia="Times New Roman" w:hAnsiTheme="minorHAnsi" w:cstheme="minorHAnsi"/>
                <w:sz w:val="12"/>
                <w:szCs w:val="12"/>
              </w:rPr>
            </w:pPr>
          </w:p>
        </w:tc>
      </w:tr>
      <w:tr w:rsidR="0044035E" w:rsidRPr="00CA4A72" w14:paraId="6F9C45FD" w14:textId="77777777" w:rsidTr="006A1A41">
        <w:trPr>
          <w:trHeight w:val="170"/>
        </w:trPr>
        <w:tc>
          <w:tcPr>
            <w:tcW w:w="2975" w:type="dxa"/>
            <w:tcBorders>
              <w:top w:val="nil"/>
              <w:bottom w:val="single" w:sz="4" w:space="0" w:color="auto"/>
              <w:right w:val="single" w:sz="4" w:space="0" w:color="auto"/>
            </w:tcBorders>
            <w:shd w:val="clear" w:color="auto" w:fill="auto"/>
            <w:vAlign w:val="center"/>
            <w:hideMark/>
          </w:tcPr>
          <w:p w14:paraId="2FAB40DB" w14:textId="77777777" w:rsidR="0044035E" w:rsidRPr="00CA4A72" w:rsidRDefault="0044035E" w:rsidP="006A1A41">
            <w:pPr>
              <w:rPr>
                <w:rFonts w:asciiTheme="minorHAnsi" w:eastAsia="Times New Roman" w:hAnsiTheme="minorHAnsi" w:cstheme="minorHAnsi"/>
                <w:sz w:val="12"/>
                <w:szCs w:val="12"/>
              </w:rPr>
            </w:pPr>
            <w:r w:rsidRPr="00CA4A72">
              <w:rPr>
                <w:rFonts w:asciiTheme="minorHAnsi" w:hAnsiTheme="minorHAnsi" w:cstheme="minorHAnsi"/>
                <w:sz w:val="12"/>
                <w:szCs w:val="12"/>
              </w:rPr>
              <w:t>Average Rate JPY per Euro</w:t>
            </w:r>
          </w:p>
        </w:tc>
        <w:tc>
          <w:tcPr>
            <w:tcW w:w="907" w:type="dxa"/>
            <w:tcBorders>
              <w:left w:val="single" w:sz="4" w:space="0" w:color="auto"/>
              <w:bottom w:val="single" w:sz="4" w:space="0" w:color="auto"/>
            </w:tcBorders>
            <w:shd w:val="clear" w:color="auto" w:fill="auto"/>
            <w:vAlign w:val="center"/>
          </w:tcPr>
          <w:p w14:paraId="57E3E387"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118.41</w:t>
            </w:r>
          </w:p>
        </w:tc>
        <w:tc>
          <w:tcPr>
            <w:tcW w:w="907" w:type="dxa"/>
            <w:tcBorders>
              <w:bottom w:val="single" w:sz="4" w:space="0" w:color="auto"/>
            </w:tcBorders>
            <w:shd w:val="clear" w:color="auto" w:fill="auto"/>
            <w:vAlign w:val="center"/>
          </w:tcPr>
          <w:p w14:paraId="5C9CA74E"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eastAsia="Times New Roman" w:hAnsiTheme="minorHAnsi" w:cstheme="minorHAnsi"/>
                <w:sz w:val="12"/>
                <w:szCs w:val="12"/>
              </w:rPr>
              <w:t>123.47</w:t>
            </w:r>
          </w:p>
        </w:tc>
        <w:tc>
          <w:tcPr>
            <w:tcW w:w="752" w:type="dxa"/>
            <w:tcBorders>
              <w:bottom w:val="single" w:sz="4" w:space="0" w:color="auto"/>
            </w:tcBorders>
            <w:shd w:val="clear" w:color="auto" w:fill="auto"/>
            <w:vAlign w:val="center"/>
          </w:tcPr>
          <w:p w14:paraId="00CB3F72"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(4)%</w:t>
            </w:r>
          </w:p>
        </w:tc>
        <w:tc>
          <w:tcPr>
            <w:tcW w:w="756" w:type="dxa"/>
            <w:tcBorders>
              <w:bottom w:val="single" w:sz="4" w:space="0" w:color="auto"/>
              <w:right w:val="single" w:sz="4" w:space="0" w:color="auto"/>
            </w:tcBorders>
            <w:shd w:val="clear" w:color="auto" w:fill="auto"/>
            <w:vAlign w:val="center"/>
          </w:tcPr>
          <w:p w14:paraId="104D9F4E"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p>
        </w:tc>
        <w:tc>
          <w:tcPr>
            <w:tcW w:w="907" w:type="dxa"/>
            <w:tcBorders>
              <w:left w:val="single" w:sz="4" w:space="0" w:color="auto"/>
            </w:tcBorders>
            <w:shd w:val="clear" w:color="auto" w:fill="auto"/>
            <w:vAlign w:val="center"/>
          </w:tcPr>
          <w:p w14:paraId="0CE5313B"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119.27</w:t>
            </w:r>
          </w:p>
        </w:tc>
        <w:tc>
          <w:tcPr>
            <w:tcW w:w="907" w:type="dxa"/>
            <w:shd w:val="clear" w:color="auto" w:fill="auto"/>
            <w:vAlign w:val="center"/>
          </w:tcPr>
          <w:p w14:paraId="4F9E64C2"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eastAsia="Times New Roman" w:hAnsiTheme="minorHAnsi" w:cstheme="minorHAnsi"/>
                <w:sz w:val="12"/>
                <w:szCs w:val="12"/>
              </w:rPr>
              <w:t>124.28</w:t>
            </w:r>
          </w:p>
        </w:tc>
        <w:tc>
          <w:tcPr>
            <w:tcW w:w="709" w:type="dxa"/>
            <w:shd w:val="clear" w:color="000000" w:fill="FFFFFF"/>
            <w:vAlign w:val="center"/>
          </w:tcPr>
          <w:p w14:paraId="0A8C5124" w14:textId="77777777" w:rsidR="0044035E" w:rsidRPr="00A455FD" w:rsidRDefault="0044035E" w:rsidP="006A1A41">
            <w:pPr>
              <w:ind w:firstLineChars="100" w:firstLine="120"/>
              <w:jc w:val="right"/>
              <w:rPr>
                <w:rFonts w:asciiTheme="minorHAnsi" w:eastAsia="Times New Roman" w:hAnsiTheme="minorHAnsi" w:cstheme="minorHAnsi"/>
                <w:sz w:val="12"/>
                <w:szCs w:val="12"/>
              </w:rPr>
            </w:pPr>
            <w:r w:rsidRPr="00A455FD">
              <w:rPr>
                <w:rFonts w:asciiTheme="minorHAnsi" w:hAnsiTheme="minorHAnsi" w:cstheme="minorHAnsi"/>
                <w:color w:val="000000"/>
                <w:sz w:val="12"/>
                <w:szCs w:val="12"/>
              </w:rPr>
              <w:t>(4)%</w:t>
            </w:r>
          </w:p>
        </w:tc>
        <w:tc>
          <w:tcPr>
            <w:tcW w:w="819" w:type="dxa"/>
            <w:shd w:val="clear" w:color="000000" w:fill="FFFFFF"/>
            <w:vAlign w:val="center"/>
          </w:tcPr>
          <w:p w14:paraId="44118807" w14:textId="77777777" w:rsidR="0044035E" w:rsidRPr="00A455FD" w:rsidRDefault="0044035E" w:rsidP="006A1A41">
            <w:pPr>
              <w:jc w:val="right"/>
              <w:rPr>
                <w:rFonts w:asciiTheme="minorHAnsi" w:eastAsia="Times New Roman" w:hAnsiTheme="minorHAnsi" w:cstheme="minorHAnsi"/>
                <w:sz w:val="12"/>
                <w:szCs w:val="12"/>
              </w:rPr>
            </w:pPr>
          </w:p>
        </w:tc>
      </w:tr>
    </w:tbl>
    <w:p w14:paraId="5935E5C2" w14:textId="77777777" w:rsidR="0044035E" w:rsidRDefault="0044035E" w:rsidP="0044035E">
      <w:pPr>
        <w:spacing w:line="276" w:lineRule="auto"/>
        <w:rPr>
          <w:rFonts w:asciiTheme="minorHAnsi" w:eastAsia="MS Mincho" w:hAnsiTheme="minorHAnsi" w:cstheme="minorHAnsi"/>
          <w:bCs/>
          <w:color w:val="000000"/>
          <w:sz w:val="12"/>
          <w:szCs w:val="12"/>
          <w:lang w:eastAsia="ja-JP"/>
        </w:rPr>
      </w:pPr>
      <w:r w:rsidRPr="002C073C">
        <w:rPr>
          <w:rFonts w:asciiTheme="minorHAnsi" w:eastAsia="MS Mincho" w:hAnsiTheme="minorHAnsi" w:cstheme="minorHAnsi"/>
          <w:bCs/>
          <w:color w:val="000000"/>
          <w:sz w:val="12"/>
          <w:szCs w:val="12"/>
          <w:vertAlign w:val="superscript"/>
          <w:lang w:eastAsia="ja-JP"/>
        </w:rPr>
        <w:t>(</w:t>
      </w:r>
      <w:r>
        <w:rPr>
          <w:rFonts w:asciiTheme="minorHAnsi" w:eastAsia="MS Mincho" w:hAnsiTheme="minorHAnsi" w:cstheme="minorHAnsi"/>
          <w:bCs/>
          <w:color w:val="000000"/>
          <w:sz w:val="12"/>
          <w:szCs w:val="12"/>
          <w:vertAlign w:val="superscript"/>
          <w:lang w:eastAsia="ja-JP"/>
        </w:rPr>
        <w:t>1</w:t>
      </w:r>
      <w:r w:rsidRPr="002C073C">
        <w:rPr>
          <w:rFonts w:asciiTheme="minorHAnsi" w:eastAsia="MS Mincho" w:hAnsiTheme="minorHAnsi" w:cstheme="minorHAnsi"/>
          <w:bCs/>
          <w:color w:val="000000"/>
          <w:sz w:val="12"/>
          <w:szCs w:val="12"/>
          <w:vertAlign w:val="superscript"/>
          <w:lang w:eastAsia="ja-JP"/>
        </w:rPr>
        <w:t>)</w:t>
      </w:r>
      <w:r>
        <w:rPr>
          <w:rFonts w:asciiTheme="minorHAnsi" w:eastAsia="MS Mincho" w:hAnsiTheme="minorHAnsi" w:cstheme="minorHAnsi"/>
          <w:bCs/>
          <w:color w:val="000000"/>
          <w:sz w:val="12"/>
          <w:szCs w:val="12"/>
          <w:lang w:eastAsia="ja-JP"/>
        </w:rPr>
        <w:t xml:space="preserve"> Excluding ENOVIA Life Sciences Compliance and Quality Management (</w:t>
      </w:r>
      <w:r w:rsidRPr="0031582A">
        <w:rPr>
          <w:rFonts w:asciiTheme="minorHAnsi" w:eastAsia="MS Mincho" w:hAnsiTheme="minorHAnsi" w:cstheme="minorHAnsi"/>
          <w:bCs/>
          <w:color w:val="000000"/>
          <w:sz w:val="12"/>
          <w:szCs w:val="12"/>
          <w:lang w:eastAsia="ja-JP"/>
        </w:rPr>
        <w:t>Q2 2019: €3.7m; YTD 2019: €7.0m)</w:t>
      </w:r>
    </w:p>
    <w:p w14:paraId="03BC1E38" w14:textId="77777777" w:rsidR="0044035E" w:rsidRDefault="0044035E" w:rsidP="0044035E">
      <w:pPr>
        <w:spacing w:after="200" w:line="276" w:lineRule="auto"/>
        <w:rPr>
          <w:rFonts w:asciiTheme="minorHAnsi" w:eastAsia="MS Mincho" w:hAnsiTheme="minorHAnsi" w:cstheme="minorHAnsi"/>
          <w:bCs/>
          <w:color w:val="000000"/>
          <w:sz w:val="12"/>
          <w:szCs w:val="12"/>
          <w:lang w:eastAsia="ja-JP"/>
        </w:rPr>
      </w:pPr>
      <w:r w:rsidRPr="002C073C">
        <w:rPr>
          <w:rFonts w:asciiTheme="minorHAnsi" w:eastAsia="MS Mincho" w:hAnsiTheme="minorHAnsi" w:cstheme="minorHAnsi"/>
          <w:bCs/>
          <w:color w:val="000000"/>
          <w:sz w:val="12"/>
          <w:szCs w:val="12"/>
          <w:vertAlign w:val="superscript"/>
          <w:lang w:eastAsia="ja-JP"/>
        </w:rPr>
        <w:t>(</w:t>
      </w:r>
      <w:r>
        <w:rPr>
          <w:rFonts w:asciiTheme="minorHAnsi" w:eastAsia="MS Mincho" w:hAnsiTheme="minorHAnsi" w:cstheme="minorHAnsi"/>
          <w:bCs/>
          <w:color w:val="000000"/>
          <w:sz w:val="12"/>
          <w:szCs w:val="12"/>
          <w:vertAlign w:val="superscript"/>
          <w:lang w:eastAsia="ja-JP"/>
        </w:rPr>
        <w:t>2</w:t>
      </w:r>
      <w:r w:rsidRPr="002C073C">
        <w:rPr>
          <w:rFonts w:asciiTheme="minorHAnsi" w:eastAsia="MS Mincho" w:hAnsiTheme="minorHAnsi" w:cstheme="minorHAnsi"/>
          <w:bCs/>
          <w:color w:val="000000"/>
          <w:sz w:val="12"/>
          <w:szCs w:val="12"/>
          <w:vertAlign w:val="superscript"/>
          <w:lang w:eastAsia="ja-JP"/>
        </w:rPr>
        <w:t>)</w:t>
      </w:r>
      <w:r>
        <w:rPr>
          <w:rFonts w:asciiTheme="minorHAnsi" w:eastAsia="MS Mincho" w:hAnsiTheme="minorHAnsi" w:cstheme="minorHAnsi"/>
          <w:bCs/>
          <w:color w:val="000000"/>
          <w:sz w:val="12"/>
          <w:szCs w:val="12"/>
          <w:lang w:eastAsia="ja-JP"/>
        </w:rPr>
        <w:t xml:space="preserve"> Including ENOVIA Life Sciences Compliance and Quality Management </w:t>
      </w:r>
      <w:r w:rsidRPr="0031582A">
        <w:rPr>
          <w:rFonts w:asciiTheme="minorHAnsi" w:eastAsia="MS Mincho" w:hAnsiTheme="minorHAnsi" w:cstheme="minorHAnsi"/>
          <w:bCs/>
          <w:color w:val="000000"/>
          <w:sz w:val="12"/>
          <w:szCs w:val="12"/>
          <w:lang w:eastAsia="ja-JP"/>
        </w:rPr>
        <w:t>(Q2 2019: €3.7m; YTD 2019: €7.0m)</w:t>
      </w:r>
    </w:p>
    <w:p w14:paraId="62DFFC8B" w14:textId="77777777" w:rsidR="0044035E" w:rsidRDefault="0044035E" w:rsidP="0044035E">
      <w:pPr>
        <w:spacing w:after="200" w:line="276" w:lineRule="auto"/>
        <w:rPr>
          <w:rFonts w:asciiTheme="minorHAnsi" w:eastAsia="MS Mincho" w:hAnsiTheme="minorHAnsi" w:cstheme="minorHAnsi"/>
          <w:bCs/>
          <w:color w:val="000000"/>
          <w:sz w:val="12"/>
          <w:szCs w:val="12"/>
          <w:lang w:eastAsia="ja-JP"/>
        </w:rPr>
      </w:pPr>
    </w:p>
    <w:p w14:paraId="45E85529" w14:textId="77777777" w:rsidR="0044035E" w:rsidRPr="007C38D0" w:rsidRDefault="0044035E" w:rsidP="0044035E">
      <w:pPr>
        <w:autoSpaceDE w:val="0"/>
        <w:autoSpaceDN w:val="0"/>
        <w:adjustRightInd w:val="0"/>
        <w:ind w:right="-23"/>
        <w:jc w:val="center"/>
        <w:rPr>
          <w:rFonts w:asciiTheme="minorHAnsi" w:hAnsiTheme="minorHAnsi" w:cstheme="minorHAnsi"/>
          <w:b/>
          <w:bCs/>
          <w:color w:val="000000"/>
        </w:rPr>
      </w:pPr>
      <w:r w:rsidRPr="00CA4A72">
        <w:rPr>
          <w:rFonts w:asciiTheme="minorHAnsi" w:hAnsiTheme="minorHAnsi" w:cstheme="minorHAnsi"/>
          <w:b/>
          <w:bCs/>
          <w:color w:val="000000"/>
        </w:rPr>
        <w:t>DASSAULT SYSTEMES</w:t>
      </w:r>
    </w:p>
    <w:p w14:paraId="7D17D89D" w14:textId="77777777" w:rsidR="0044035E" w:rsidRDefault="0044035E" w:rsidP="0044035E">
      <w:pPr>
        <w:autoSpaceDE w:val="0"/>
        <w:autoSpaceDN w:val="0"/>
        <w:adjustRightInd w:val="0"/>
        <w:ind w:right="-23"/>
        <w:jc w:val="center"/>
        <w:rPr>
          <w:rFonts w:asciiTheme="minorHAnsi" w:hAnsiTheme="minorHAnsi" w:cstheme="minorHAnsi"/>
          <w:b/>
          <w:bCs/>
          <w:color w:val="000000"/>
        </w:rPr>
      </w:pPr>
      <w:r w:rsidRPr="00CA4A72">
        <w:rPr>
          <w:rFonts w:asciiTheme="minorHAnsi" w:hAnsiTheme="minorHAnsi" w:cstheme="minorHAnsi"/>
          <w:b/>
          <w:bCs/>
          <w:color w:val="000000"/>
        </w:rPr>
        <w:t>ACQUISITIONS AND FOREIGN EXCHANGE IMPACT</w:t>
      </w:r>
    </w:p>
    <w:p w14:paraId="16DDED42" w14:textId="77777777" w:rsidR="0044035E" w:rsidRPr="00CA4A72" w:rsidRDefault="0044035E" w:rsidP="0044035E">
      <w:pPr>
        <w:autoSpaceDE w:val="0"/>
        <w:autoSpaceDN w:val="0"/>
        <w:adjustRightInd w:val="0"/>
        <w:ind w:right="-23"/>
        <w:jc w:val="center"/>
        <w:rPr>
          <w:rFonts w:asciiTheme="minorHAnsi" w:eastAsia="MS Mincho" w:hAnsiTheme="minorHAnsi" w:cstheme="minorHAnsi"/>
          <w:bCs/>
          <w:color w:val="000000"/>
          <w:sz w:val="20"/>
          <w:szCs w:val="20"/>
          <w:lang w:eastAsia="ja-JP"/>
        </w:rPr>
      </w:pPr>
      <w:r w:rsidRPr="00CA4A72">
        <w:rPr>
          <w:rFonts w:asciiTheme="minorHAnsi" w:hAnsiTheme="minorHAnsi" w:cstheme="minorHAnsi"/>
          <w:color w:val="000000"/>
          <w:sz w:val="20"/>
          <w:szCs w:val="20"/>
        </w:rPr>
        <w:t>(</w:t>
      </w:r>
      <w:proofErr w:type="gramStart"/>
      <w:r w:rsidRPr="00CA4A72">
        <w:rPr>
          <w:rFonts w:asciiTheme="minorHAnsi" w:eastAsia="MS Mincho" w:hAnsiTheme="minorHAnsi" w:cstheme="minorHAnsi"/>
          <w:bCs/>
          <w:color w:val="000000"/>
          <w:sz w:val="20"/>
          <w:szCs w:val="20"/>
          <w:lang w:eastAsia="ja-JP"/>
        </w:rPr>
        <w:t>unaudited</w:t>
      </w:r>
      <w:proofErr w:type="gramEnd"/>
      <w:r w:rsidRPr="00CA4A72">
        <w:rPr>
          <w:rFonts w:asciiTheme="minorHAnsi" w:eastAsia="MS Mincho" w:hAnsiTheme="minorHAnsi" w:cstheme="minorHAnsi"/>
          <w:bCs/>
          <w:color w:val="000000"/>
          <w:sz w:val="20"/>
          <w:szCs w:val="20"/>
          <w:lang w:eastAsia="ja-JP"/>
        </w:rPr>
        <w:t>; in millions of Euros)</w:t>
      </w:r>
    </w:p>
    <w:p w14:paraId="5AE3B7F2" w14:textId="77777777" w:rsidR="0044035E" w:rsidRPr="007C38D0" w:rsidRDefault="0044035E" w:rsidP="0044035E">
      <w:pPr>
        <w:autoSpaceDE w:val="0"/>
        <w:autoSpaceDN w:val="0"/>
        <w:adjustRightInd w:val="0"/>
        <w:ind w:right="-23"/>
        <w:jc w:val="center"/>
        <w:rPr>
          <w:rFonts w:asciiTheme="minorHAnsi" w:hAnsiTheme="minorHAnsi" w:cstheme="minorHAnsi"/>
          <w:bCs/>
          <w:color w:val="000000"/>
          <w:sz w:val="20"/>
        </w:rPr>
      </w:pPr>
    </w:p>
    <w:tbl>
      <w:tblPr>
        <w:tblW w:w="9640" w:type="dxa"/>
        <w:tblInd w:w="-1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5"/>
        <w:gridCol w:w="993"/>
        <w:gridCol w:w="992"/>
        <w:gridCol w:w="1417"/>
        <w:gridCol w:w="1134"/>
        <w:gridCol w:w="1139"/>
        <w:gridCol w:w="1130"/>
      </w:tblGrid>
      <w:tr w:rsidR="0044035E" w:rsidRPr="00CA4A72" w14:paraId="3F18E339" w14:textId="77777777" w:rsidTr="006A1A41">
        <w:trPr>
          <w:trHeight w:val="243"/>
        </w:trPr>
        <w:tc>
          <w:tcPr>
            <w:tcW w:w="2835" w:type="dxa"/>
            <w:vMerge w:val="restart"/>
            <w:tcBorders>
              <w:top w:val="single" w:sz="4" w:space="0" w:color="auto"/>
              <w:bottom w:val="single" w:sz="4" w:space="0" w:color="auto"/>
              <w:right w:val="single" w:sz="4" w:space="0" w:color="auto"/>
            </w:tcBorders>
            <w:shd w:val="clear" w:color="auto" w:fill="FFFFFF"/>
            <w:vAlign w:val="center"/>
            <w:hideMark/>
          </w:tcPr>
          <w:p w14:paraId="6D1496E1" w14:textId="77777777" w:rsidR="0044035E" w:rsidRPr="00CA4A72" w:rsidRDefault="0044035E" w:rsidP="006A1A41">
            <w:pPr>
              <w:spacing w:line="276" w:lineRule="auto"/>
              <w:jc w:val="center"/>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In millions of Euros</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ED1905"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r w:rsidRPr="00CA4A72">
              <w:rPr>
                <w:rFonts w:asciiTheme="minorHAnsi" w:eastAsia="Times New Roman" w:hAnsiTheme="minorHAnsi" w:cstheme="minorHAnsi"/>
                <w:b/>
                <w:bCs/>
                <w:sz w:val="12"/>
                <w:szCs w:val="12"/>
                <w:lang w:eastAsia="en-GB"/>
              </w:rPr>
              <w:t>Non-IFRS reported</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tcPr>
          <w:p w14:paraId="27E5A238"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r w:rsidRPr="00C55CAB">
              <w:rPr>
                <w:rFonts w:asciiTheme="minorHAnsi" w:hAnsiTheme="minorHAnsi" w:cstheme="minorHAnsi"/>
                <w:b/>
                <w:bCs/>
                <w:sz w:val="12"/>
                <w:szCs w:val="12"/>
              </w:rPr>
              <w:t>o/w growth at constant rate and scope</w:t>
            </w:r>
          </w:p>
        </w:tc>
        <w:tc>
          <w:tcPr>
            <w:tcW w:w="1139"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tcPr>
          <w:p w14:paraId="2F8D0A2C"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r>
              <w:rPr>
                <w:rFonts w:asciiTheme="minorHAnsi" w:hAnsiTheme="minorHAnsi" w:cstheme="minorHAnsi"/>
                <w:b/>
                <w:bCs/>
                <w:sz w:val="12"/>
                <w:szCs w:val="12"/>
              </w:rPr>
              <w:t xml:space="preserve">o/w </w:t>
            </w:r>
            <w:r w:rsidRPr="00C55CAB">
              <w:rPr>
                <w:rFonts w:asciiTheme="minorHAnsi" w:hAnsiTheme="minorHAnsi" w:cstheme="minorHAnsi"/>
                <w:b/>
                <w:bCs/>
                <w:sz w:val="12"/>
                <w:szCs w:val="12"/>
              </w:rPr>
              <w:t>change of scope impact at current year rate</w:t>
            </w:r>
          </w:p>
        </w:tc>
        <w:tc>
          <w:tcPr>
            <w:tcW w:w="1130" w:type="dxa"/>
            <w:vMerge w:val="restart"/>
            <w:tcBorders>
              <w:top w:val="single" w:sz="4" w:space="0" w:color="auto"/>
              <w:left w:val="single" w:sz="4" w:space="0" w:color="auto"/>
              <w:bottom w:val="single" w:sz="4" w:space="0" w:color="auto"/>
            </w:tcBorders>
            <w:shd w:val="clear" w:color="000000" w:fill="FFFFFF"/>
            <w:noWrap/>
            <w:vAlign w:val="bottom"/>
          </w:tcPr>
          <w:p w14:paraId="50CC0CEE"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r w:rsidRPr="00C55CAB">
              <w:rPr>
                <w:rFonts w:asciiTheme="minorHAnsi" w:hAnsiTheme="minorHAnsi" w:cstheme="minorHAnsi"/>
                <w:b/>
                <w:bCs/>
                <w:sz w:val="12"/>
                <w:szCs w:val="12"/>
              </w:rPr>
              <w:t>o/w FX impact on previous year figures</w:t>
            </w:r>
          </w:p>
        </w:tc>
      </w:tr>
      <w:tr w:rsidR="0044035E" w:rsidRPr="00CA4A72" w14:paraId="1D177679" w14:textId="77777777" w:rsidTr="006A1A41">
        <w:trPr>
          <w:trHeight w:val="341"/>
        </w:trPr>
        <w:tc>
          <w:tcPr>
            <w:tcW w:w="2835" w:type="dxa"/>
            <w:vMerge/>
            <w:tcBorders>
              <w:top w:val="nil"/>
              <w:bottom w:val="single" w:sz="4" w:space="0" w:color="auto"/>
              <w:right w:val="single" w:sz="4" w:space="0" w:color="auto"/>
            </w:tcBorders>
            <w:vAlign w:val="center"/>
            <w:hideMark/>
          </w:tcPr>
          <w:p w14:paraId="38D1D69A" w14:textId="77777777" w:rsidR="0044035E" w:rsidRPr="00CA4A72" w:rsidRDefault="0044035E" w:rsidP="006A1A41">
            <w:pPr>
              <w:spacing w:line="276" w:lineRule="auto"/>
              <w:jc w:val="center"/>
              <w:rPr>
                <w:rFonts w:asciiTheme="minorHAnsi" w:eastAsia="Times New Roman" w:hAnsiTheme="minorHAnsi" w:cstheme="minorHAnsi"/>
                <w:sz w:val="12"/>
                <w:szCs w:val="12"/>
                <w:lang w:eastAsia="en-GB"/>
              </w:rPr>
            </w:pPr>
          </w:p>
        </w:tc>
        <w:tc>
          <w:tcPr>
            <w:tcW w:w="993" w:type="dxa"/>
            <w:tcBorders>
              <w:top w:val="single" w:sz="4" w:space="0" w:color="auto"/>
              <w:left w:val="single" w:sz="4" w:space="0" w:color="auto"/>
              <w:bottom w:val="single" w:sz="4" w:space="0" w:color="auto"/>
            </w:tcBorders>
            <w:shd w:val="clear" w:color="auto" w:fill="FFFFFF"/>
            <w:vAlign w:val="center"/>
            <w:hideMark/>
          </w:tcPr>
          <w:p w14:paraId="6522A411" w14:textId="77777777" w:rsidR="0044035E" w:rsidRDefault="0044035E" w:rsidP="006A1A41">
            <w:pPr>
              <w:spacing w:line="276" w:lineRule="auto"/>
              <w:jc w:val="right"/>
              <w:rPr>
                <w:rFonts w:asciiTheme="minorHAnsi" w:hAnsiTheme="minorHAnsi" w:cstheme="minorHAnsi"/>
                <w:b/>
                <w:bCs/>
                <w:sz w:val="12"/>
                <w:szCs w:val="12"/>
              </w:rPr>
            </w:pPr>
            <w:r>
              <w:rPr>
                <w:rFonts w:asciiTheme="minorHAnsi" w:hAnsiTheme="minorHAnsi" w:cstheme="minorHAnsi"/>
                <w:b/>
                <w:bCs/>
                <w:sz w:val="12"/>
                <w:szCs w:val="12"/>
              </w:rPr>
              <w:t>June 30,</w:t>
            </w:r>
          </w:p>
          <w:p w14:paraId="7CFCFD02" w14:textId="77777777" w:rsidR="0044035E" w:rsidRPr="00D946AA" w:rsidRDefault="0044035E" w:rsidP="006A1A41">
            <w:pPr>
              <w:spacing w:line="276" w:lineRule="auto"/>
              <w:jc w:val="right"/>
              <w:rPr>
                <w:rFonts w:asciiTheme="minorHAnsi" w:eastAsia="Times New Roman" w:hAnsiTheme="minorHAnsi" w:cstheme="minorHAnsi"/>
                <w:b/>
                <w:bCs/>
                <w:sz w:val="12"/>
                <w:szCs w:val="12"/>
                <w:lang w:eastAsia="en-GB"/>
              </w:rPr>
            </w:pPr>
            <w:r>
              <w:rPr>
                <w:rFonts w:asciiTheme="minorHAnsi" w:hAnsiTheme="minorHAnsi" w:cstheme="minorHAnsi"/>
                <w:b/>
                <w:bCs/>
                <w:sz w:val="12"/>
                <w:szCs w:val="12"/>
              </w:rPr>
              <w:t>2020</w:t>
            </w:r>
          </w:p>
        </w:tc>
        <w:tc>
          <w:tcPr>
            <w:tcW w:w="992" w:type="dxa"/>
            <w:tcBorders>
              <w:top w:val="single" w:sz="4" w:space="0" w:color="auto"/>
              <w:bottom w:val="single" w:sz="4" w:space="0" w:color="auto"/>
            </w:tcBorders>
            <w:shd w:val="clear" w:color="auto" w:fill="FFFFFF"/>
            <w:vAlign w:val="center"/>
          </w:tcPr>
          <w:p w14:paraId="108337F5" w14:textId="77777777" w:rsidR="0044035E" w:rsidRDefault="0044035E" w:rsidP="006A1A41">
            <w:pPr>
              <w:spacing w:line="276" w:lineRule="auto"/>
              <w:jc w:val="right"/>
              <w:rPr>
                <w:rFonts w:asciiTheme="minorHAnsi" w:eastAsia="Times New Roman" w:hAnsiTheme="minorHAnsi" w:cstheme="minorHAnsi"/>
                <w:b/>
                <w:bCs/>
                <w:sz w:val="12"/>
                <w:szCs w:val="12"/>
                <w:lang w:eastAsia="en-GB"/>
              </w:rPr>
            </w:pPr>
            <w:r>
              <w:rPr>
                <w:rFonts w:asciiTheme="minorHAnsi" w:eastAsia="Times New Roman" w:hAnsiTheme="minorHAnsi" w:cstheme="minorHAnsi"/>
                <w:b/>
                <w:bCs/>
                <w:sz w:val="12"/>
                <w:szCs w:val="12"/>
                <w:lang w:eastAsia="en-GB"/>
              </w:rPr>
              <w:t>June 30,</w:t>
            </w:r>
          </w:p>
          <w:p w14:paraId="150659CB" w14:textId="77777777" w:rsidR="0044035E" w:rsidRPr="00D946AA" w:rsidRDefault="0044035E" w:rsidP="006A1A41">
            <w:pPr>
              <w:spacing w:line="276" w:lineRule="auto"/>
              <w:jc w:val="right"/>
              <w:rPr>
                <w:rFonts w:asciiTheme="minorHAnsi" w:eastAsia="Times New Roman" w:hAnsiTheme="minorHAnsi" w:cstheme="minorHAnsi"/>
                <w:b/>
                <w:bCs/>
                <w:sz w:val="12"/>
                <w:szCs w:val="12"/>
                <w:lang w:eastAsia="en-GB"/>
              </w:rPr>
            </w:pPr>
            <w:r>
              <w:rPr>
                <w:rFonts w:asciiTheme="minorHAnsi" w:eastAsia="Times New Roman" w:hAnsiTheme="minorHAnsi" w:cstheme="minorHAnsi"/>
                <w:b/>
                <w:bCs/>
                <w:sz w:val="12"/>
                <w:szCs w:val="12"/>
                <w:lang w:eastAsia="en-GB"/>
              </w:rPr>
              <w:t>2019</w:t>
            </w:r>
          </w:p>
        </w:tc>
        <w:tc>
          <w:tcPr>
            <w:tcW w:w="1417" w:type="dxa"/>
            <w:tcBorders>
              <w:top w:val="single" w:sz="4" w:space="0" w:color="auto"/>
              <w:bottom w:val="single" w:sz="4" w:space="0" w:color="auto"/>
              <w:right w:val="single" w:sz="4" w:space="0" w:color="auto"/>
            </w:tcBorders>
            <w:shd w:val="clear" w:color="auto" w:fill="FFFFFF"/>
            <w:vAlign w:val="center"/>
          </w:tcPr>
          <w:p w14:paraId="2FAF8588"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r>
              <w:rPr>
                <w:rFonts w:asciiTheme="minorHAnsi" w:eastAsia="Times New Roman" w:hAnsiTheme="minorHAnsi" w:cstheme="minorHAnsi"/>
                <w:b/>
                <w:bCs/>
                <w:sz w:val="12"/>
                <w:szCs w:val="12"/>
                <w:lang w:eastAsia="en-GB"/>
              </w:rPr>
              <w:t>Change</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BA28280"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p>
        </w:tc>
        <w:tc>
          <w:tcPr>
            <w:tcW w:w="1139"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4756F5F"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p>
        </w:tc>
        <w:tc>
          <w:tcPr>
            <w:tcW w:w="1130" w:type="dxa"/>
            <w:vMerge/>
            <w:tcBorders>
              <w:top w:val="single" w:sz="4" w:space="0" w:color="auto"/>
              <w:left w:val="single" w:sz="4" w:space="0" w:color="auto"/>
              <w:bottom w:val="single" w:sz="4" w:space="0" w:color="auto"/>
            </w:tcBorders>
            <w:shd w:val="clear" w:color="000000" w:fill="FFFFFF"/>
            <w:vAlign w:val="center"/>
          </w:tcPr>
          <w:p w14:paraId="483E678D"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p>
        </w:tc>
      </w:tr>
      <w:tr w:rsidR="0044035E" w:rsidRPr="00CA4A72" w14:paraId="3AE80A36" w14:textId="77777777" w:rsidTr="006A1A41">
        <w:trPr>
          <w:trHeight w:val="170"/>
        </w:trPr>
        <w:tc>
          <w:tcPr>
            <w:tcW w:w="2835" w:type="dxa"/>
            <w:tcBorders>
              <w:top w:val="single" w:sz="4" w:space="0" w:color="auto"/>
              <w:bottom w:val="nil"/>
              <w:right w:val="single" w:sz="4" w:space="0" w:color="auto"/>
            </w:tcBorders>
            <w:shd w:val="clear" w:color="auto" w:fill="FFFFFF"/>
            <w:vAlign w:val="center"/>
            <w:hideMark/>
          </w:tcPr>
          <w:p w14:paraId="2828C92A"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Revenue QTD</w:t>
            </w:r>
          </w:p>
        </w:tc>
        <w:tc>
          <w:tcPr>
            <w:tcW w:w="993" w:type="dxa"/>
            <w:tcBorders>
              <w:top w:val="single" w:sz="4" w:space="0" w:color="auto"/>
              <w:left w:val="single" w:sz="4" w:space="0" w:color="auto"/>
              <w:bottom w:val="nil"/>
            </w:tcBorders>
            <w:shd w:val="clear" w:color="000000" w:fill="FFFFFF"/>
            <w:noWrap/>
            <w:vAlign w:val="center"/>
          </w:tcPr>
          <w:p w14:paraId="3FBA157E" w14:textId="77777777" w:rsidR="0044035E" w:rsidRPr="00A455FD" w:rsidRDefault="0044035E" w:rsidP="006A1A41">
            <w:pPr>
              <w:spacing w:line="276" w:lineRule="auto"/>
              <w:jc w:val="right"/>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1,070.6</w:t>
            </w:r>
          </w:p>
        </w:tc>
        <w:tc>
          <w:tcPr>
            <w:tcW w:w="992" w:type="dxa"/>
            <w:tcBorders>
              <w:top w:val="single" w:sz="4" w:space="0" w:color="auto"/>
              <w:left w:val="nil"/>
              <w:bottom w:val="nil"/>
              <w:right w:val="nil"/>
            </w:tcBorders>
            <w:shd w:val="clear" w:color="000000" w:fill="FFFFFF"/>
            <w:noWrap/>
            <w:vAlign w:val="center"/>
          </w:tcPr>
          <w:p w14:paraId="60D75651" w14:textId="77777777" w:rsidR="0044035E" w:rsidRPr="00A455FD" w:rsidRDefault="0044035E" w:rsidP="006A1A41">
            <w:pPr>
              <w:spacing w:line="276" w:lineRule="auto"/>
              <w:jc w:val="right"/>
              <w:rPr>
                <w:rFonts w:asciiTheme="minorHAnsi" w:eastAsia="Times New Roman" w:hAnsiTheme="minorHAnsi" w:cstheme="minorHAnsi"/>
                <w:sz w:val="12"/>
                <w:szCs w:val="12"/>
                <w:lang w:eastAsia="en-GB"/>
              </w:rPr>
            </w:pPr>
            <w:r w:rsidRPr="00A455FD">
              <w:rPr>
                <w:rFonts w:asciiTheme="minorHAnsi" w:hAnsiTheme="minorHAnsi" w:cstheme="minorHAnsi"/>
                <w:sz w:val="12"/>
                <w:szCs w:val="12"/>
              </w:rPr>
              <w:t>965.4</w:t>
            </w:r>
          </w:p>
        </w:tc>
        <w:tc>
          <w:tcPr>
            <w:tcW w:w="1417" w:type="dxa"/>
            <w:tcBorders>
              <w:top w:val="single" w:sz="4" w:space="0" w:color="auto"/>
              <w:bottom w:val="nil"/>
              <w:right w:val="single" w:sz="4" w:space="0" w:color="auto"/>
            </w:tcBorders>
            <w:shd w:val="clear" w:color="000000" w:fill="FFFFFF"/>
            <w:noWrap/>
            <w:vAlign w:val="center"/>
          </w:tcPr>
          <w:p w14:paraId="40174F92"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105.2</w:t>
            </w:r>
          </w:p>
        </w:tc>
        <w:tc>
          <w:tcPr>
            <w:tcW w:w="1134" w:type="dxa"/>
            <w:tcBorders>
              <w:top w:val="single" w:sz="4" w:space="0" w:color="auto"/>
              <w:left w:val="single" w:sz="4" w:space="0" w:color="auto"/>
              <w:bottom w:val="nil"/>
            </w:tcBorders>
            <w:shd w:val="clear" w:color="auto" w:fill="auto"/>
            <w:noWrap/>
            <w:vAlign w:val="center"/>
          </w:tcPr>
          <w:p w14:paraId="59546E54"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(82.1)</w:t>
            </w:r>
          </w:p>
        </w:tc>
        <w:tc>
          <w:tcPr>
            <w:tcW w:w="1139" w:type="dxa"/>
            <w:tcBorders>
              <w:top w:val="single" w:sz="4" w:space="0" w:color="auto"/>
            </w:tcBorders>
            <w:shd w:val="clear" w:color="auto" w:fill="auto"/>
            <w:noWrap/>
            <w:vAlign w:val="center"/>
          </w:tcPr>
          <w:p w14:paraId="171961A3"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180.2</w:t>
            </w:r>
          </w:p>
        </w:tc>
        <w:tc>
          <w:tcPr>
            <w:tcW w:w="1130" w:type="dxa"/>
            <w:tcBorders>
              <w:top w:val="single" w:sz="4" w:space="0" w:color="auto"/>
            </w:tcBorders>
            <w:shd w:val="clear" w:color="auto" w:fill="auto"/>
            <w:noWrap/>
            <w:vAlign w:val="center"/>
          </w:tcPr>
          <w:p w14:paraId="43C36AE1"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7.1</w:t>
            </w:r>
          </w:p>
        </w:tc>
      </w:tr>
      <w:tr w:rsidR="0044035E" w:rsidRPr="00CA4A72" w14:paraId="0DE229AB" w14:textId="77777777" w:rsidTr="006A1A41">
        <w:trPr>
          <w:trHeight w:val="170"/>
        </w:trPr>
        <w:tc>
          <w:tcPr>
            <w:tcW w:w="2835" w:type="dxa"/>
            <w:tcBorders>
              <w:top w:val="nil"/>
              <w:bottom w:val="single" w:sz="4" w:space="0" w:color="auto"/>
              <w:right w:val="single" w:sz="4" w:space="0" w:color="auto"/>
            </w:tcBorders>
            <w:shd w:val="clear" w:color="000000" w:fill="FFFFFF"/>
            <w:vAlign w:val="center"/>
          </w:tcPr>
          <w:p w14:paraId="72DC969A" w14:textId="77777777" w:rsidR="0044035E" w:rsidRPr="00CA4A72" w:rsidRDefault="0044035E" w:rsidP="006A1A41">
            <w:pPr>
              <w:spacing w:line="276" w:lineRule="auto"/>
              <w:rPr>
                <w:rFonts w:asciiTheme="minorHAnsi" w:hAnsiTheme="minorHAnsi" w:cstheme="minorHAnsi"/>
                <w:sz w:val="12"/>
                <w:szCs w:val="12"/>
              </w:rPr>
            </w:pPr>
            <w:r w:rsidRPr="00CA4A72">
              <w:rPr>
                <w:rFonts w:asciiTheme="minorHAnsi" w:hAnsiTheme="minorHAnsi" w:cstheme="minorHAnsi"/>
                <w:sz w:val="12"/>
                <w:szCs w:val="12"/>
              </w:rPr>
              <w:t>Revenue YTD</w:t>
            </w:r>
          </w:p>
        </w:tc>
        <w:tc>
          <w:tcPr>
            <w:tcW w:w="993" w:type="dxa"/>
            <w:tcBorders>
              <w:top w:val="nil"/>
              <w:left w:val="single" w:sz="4" w:space="0" w:color="auto"/>
              <w:bottom w:val="single" w:sz="4" w:space="0" w:color="auto"/>
            </w:tcBorders>
            <w:shd w:val="clear" w:color="000000" w:fill="FFFFFF"/>
            <w:noWrap/>
            <w:vAlign w:val="center"/>
          </w:tcPr>
          <w:p w14:paraId="138A7BBF" w14:textId="77777777" w:rsidR="0044035E" w:rsidRPr="00A455FD" w:rsidRDefault="0044035E" w:rsidP="006A1A41">
            <w:pPr>
              <w:spacing w:line="276" w:lineRule="auto"/>
              <w:jc w:val="right"/>
              <w:rPr>
                <w:rFonts w:asciiTheme="minorHAnsi" w:hAnsiTheme="minorHAnsi" w:cstheme="minorHAnsi"/>
                <w:sz w:val="12"/>
                <w:szCs w:val="12"/>
              </w:rPr>
            </w:pPr>
            <w:r w:rsidRPr="00A455FD">
              <w:rPr>
                <w:rFonts w:asciiTheme="minorHAnsi" w:hAnsiTheme="minorHAnsi" w:cstheme="minorHAnsi"/>
                <w:color w:val="000000"/>
                <w:sz w:val="12"/>
                <w:szCs w:val="12"/>
              </w:rPr>
              <w:t>2,215.0</w:t>
            </w:r>
          </w:p>
        </w:tc>
        <w:tc>
          <w:tcPr>
            <w:tcW w:w="992" w:type="dxa"/>
            <w:tcBorders>
              <w:top w:val="nil"/>
              <w:left w:val="nil"/>
              <w:bottom w:val="single" w:sz="4" w:space="0" w:color="auto"/>
              <w:right w:val="nil"/>
            </w:tcBorders>
            <w:shd w:val="clear" w:color="000000" w:fill="FFFFFF"/>
            <w:noWrap/>
            <w:vAlign w:val="center"/>
          </w:tcPr>
          <w:p w14:paraId="42BA1425" w14:textId="77777777" w:rsidR="0044035E" w:rsidRPr="00A455FD" w:rsidRDefault="0044035E" w:rsidP="006A1A41">
            <w:pPr>
              <w:spacing w:line="276" w:lineRule="auto"/>
              <w:jc w:val="right"/>
              <w:rPr>
                <w:rFonts w:asciiTheme="minorHAnsi" w:hAnsiTheme="minorHAnsi" w:cstheme="minorHAnsi"/>
                <w:sz w:val="12"/>
                <w:szCs w:val="12"/>
              </w:rPr>
            </w:pPr>
            <w:r w:rsidRPr="00A455FD">
              <w:rPr>
                <w:rFonts w:asciiTheme="minorHAnsi" w:hAnsiTheme="minorHAnsi" w:cstheme="minorHAnsi"/>
                <w:sz w:val="12"/>
                <w:szCs w:val="12"/>
              </w:rPr>
              <w:t>1,929.4</w:t>
            </w:r>
          </w:p>
        </w:tc>
        <w:tc>
          <w:tcPr>
            <w:tcW w:w="1417" w:type="dxa"/>
            <w:tcBorders>
              <w:top w:val="nil"/>
              <w:bottom w:val="single" w:sz="4" w:space="0" w:color="auto"/>
              <w:right w:val="single" w:sz="4" w:space="0" w:color="auto"/>
            </w:tcBorders>
            <w:shd w:val="clear" w:color="000000" w:fill="FFFFFF"/>
            <w:noWrap/>
            <w:vAlign w:val="center"/>
          </w:tcPr>
          <w:p w14:paraId="77A3AD66" w14:textId="77777777" w:rsidR="0044035E" w:rsidRPr="00A455FD" w:rsidRDefault="0044035E" w:rsidP="006A1A41">
            <w:pPr>
              <w:spacing w:line="276" w:lineRule="auto"/>
              <w:jc w:val="center"/>
              <w:rPr>
                <w:rFonts w:asciiTheme="minorHAnsi" w:hAnsiTheme="minorHAnsi" w:cstheme="minorHAnsi"/>
                <w:sz w:val="12"/>
                <w:szCs w:val="12"/>
              </w:rPr>
            </w:pPr>
            <w:r w:rsidRPr="00A455FD">
              <w:rPr>
                <w:rFonts w:asciiTheme="minorHAnsi" w:hAnsiTheme="minorHAnsi" w:cstheme="minorHAnsi"/>
                <w:color w:val="000000"/>
                <w:sz w:val="12"/>
                <w:szCs w:val="12"/>
              </w:rPr>
              <w:t>285.6</w:t>
            </w:r>
          </w:p>
        </w:tc>
        <w:tc>
          <w:tcPr>
            <w:tcW w:w="1134" w:type="dxa"/>
            <w:tcBorders>
              <w:top w:val="nil"/>
              <w:left w:val="single" w:sz="4" w:space="0" w:color="auto"/>
              <w:bottom w:val="single" w:sz="4" w:space="0" w:color="auto"/>
            </w:tcBorders>
            <w:shd w:val="clear" w:color="000000" w:fill="FFFFFF"/>
            <w:noWrap/>
            <w:vAlign w:val="center"/>
          </w:tcPr>
          <w:p w14:paraId="5D4019B7" w14:textId="77777777" w:rsidR="0044035E" w:rsidRPr="00A455FD" w:rsidRDefault="0044035E" w:rsidP="006A1A41">
            <w:pPr>
              <w:spacing w:line="276" w:lineRule="auto"/>
              <w:jc w:val="center"/>
              <w:rPr>
                <w:rFonts w:asciiTheme="minorHAnsi" w:hAnsiTheme="minorHAnsi" w:cstheme="minorHAnsi"/>
                <w:sz w:val="12"/>
                <w:szCs w:val="12"/>
              </w:rPr>
            </w:pPr>
            <w:r w:rsidRPr="00A455FD">
              <w:rPr>
                <w:rFonts w:asciiTheme="minorHAnsi" w:hAnsiTheme="minorHAnsi" w:cstheme="minorHAnsi"/>
                <w:color w:val="000000"/>
                <w:sz w:val="12"/>
                <w:szCs w:val="12"/>
              </w:rPr>
              <w:t>(91.1)</w:t>
            </w:r>
          </w:p>
        </w:tc>
        <w:tc>
          <w:tcPr>
            <w:tcW w:w="1139" w:type="dxa"/>
            <w:shd w:val="clear" w:color="000000" w:fill="FFFFFF"/>
            <w:noWrap/>
            <w:vAlign w:val="center"/>
          </w:tcPr>
          <w:p w14:paraId="7F275E77" w14:textId="77777777" w:rsidR="0044035E" w:rsidRPr="00A455FD" w:rsidRDefault="0044035E" w:rsidP="006A1A41">
            <w:pPr>
              <w:spacing w:line="276" w:lineRule="auto"/>
              <w:jc w:val="center"/>
              <w:rPr>
                <w:rFonts w:asciiTheme="minorHAnsi" w:hAnsiTheme="minorHAnsi" w:cstheme="minorHAnsi"/>
                <w:sz w:val="12"/>
                <w:szCs w:val="12"/>
              </w:rPr>
            </w:pPr>
            <w:r w:rsidRPr="00A455FD">
              <w:rPr>
                <w:rFonts w:asciiTheme="minorHAnsi" w:hAnsiTheme="minorHAnsi" w:cstheme="minorHAnsi"/>
                <w:color w:val="000000"/>
                <w:sz w:val="12"/>
                <w:szCs w:val="12"/>
              </w:rPr>
              <w:t>355.6</w:t>
            </w:r>
          </w:p>
        </w:tc>
        <w:tc>
          <w:tcPr>
            <w:tcW w:w="1130" w:type="dxa"/>
            <w:shd w:val="clear" w:color="000000" w:fill="FFFFFF"/>
            <w:noWrap/>
            <w:vAlign w:val="center"/>
          </w:tcPr>
          <w:p w14:paraId="245FE508" w14:textId="77777777" w:rsidR="0044035E" w:rsidRPr="00A455FD" w:rsidRDefault="0044035E" w:rsidP="006A1A41">
            <w:pPr>
              <w:spacing w:line="276" w:lineRule="auto"/>
              <w:jc w:val="center"/>
              <w:rPr>
                <w:rFonts w:asciiTheme="minorHAnsi" w:hAnsiTheme="minorHAnsi" w:cstheme="minorHAnsi"/>
                <w:sz w:val="12"/>
                <w:szCs w:val="12"/>
              </w:rPr>
            </w:pPr>
            <w:r w:rsidRPr="00A455FD">
              <w:rPr>
                <w:rFonts w:asciiTheme="minorHAnsi" w:hAnsiTheme="minorHAnsi" w:cstheme="minorHAnsi"/>
                <w:color w:val="000000"/>
                <w:sz w:val="12"/>
                <w:szCs w:val="12"/>
              </w:rPr>
              <w:t>21.1</w:t>
            </w:r>
          </w:p>
        </w:tc>
      </w:tr>
    </w:tbl>
    <w:p w14:paraId="38653CB8" w14:textId="77777777" w:rsidR="0044035E" w:rsidRPr="00CA4A72" w:rsidRDefault="0044035E" w:rsidP="0044035E">
      <w:pPr>
        <w:autoSpaceDE w:val="0"/>
        <w:autoSpaceDN w:val="0"/>
        <w:adjustRightInd w:val="0"/>
        <w:rPr>
          <w:rFonts w:asciiTheme="minorHAnsi" w:hAnsiTheme="minorHAnsi" w:cstheme="minorHAnsi"/>
          <w:bCs/>
          <w:color w:val="000000"/>
          <w:sz w:val="12"/>
          <w:szCs w:val="12"/>
        </w:rPr>
      </w:pPr>
    </w:p>
    <w:p w14:paraId="1ED73025" w14:textId="77777777" w:rsidR="0044035E" w:rsidRPr="00CA4A72" w:rsidRDefault="0044035E" w:rsidP="0044035E">
      <w:pPr>
        <w:spacing w:after="200" w:line="276" w:lineRule="auto"/>
        <w:rPr>
          <w:rFonts w:asciiTheme="minorHAnsi" w:hAnsiTheme="minorHAnsi" w:cstheme="minorHAnsi"/>
          <w:b/>
          <w:bCs/>
          <w:color w:val="000000"/>
        </w:rPr>
      </w:pPr>
      <w:r w:rsidRPr="00CA4A72">
        <w:rPr>
          <w:rFonts w:asciiTheme="minorHAnsi" w:hAnsiTheme="minorHAnsi" w:cstheme="minorHAnsi"/>
          <w:b/>
          <w:bCs/>
          <w:color w:val="000000"/>
        </w:rPr>
        <w:br w:type="page"/>
      </w:r>
    </w:p>
    <w:p w14:paraId="405EB1FD" w14:textId="77777777" w:rsidR="0044035E" w:rsidRPr="00CA4A72" w:rsidRDefault="0044035E" w:rsidP="0044035E">
      <w:pPr>
        <w:spacing w:line="276" w:lineRule="auto"/>
        <w:ind w:right="-164"/>
        <w:jc w:val="center"/>
        <w:rPr>
          <w:rFonts w:asciiTheme="minorHAnsi" w:hAnsiTheme="minorHAnsi" w:cstheme="minorHAnsi"/>
          <w:b/>
          <w:bCs/>
          <w:color w:val="000000"/>
        </w:rPr>
      </w:pPr>
      <w:r w:rsidRPr="00CA4A72">
        <w:rPr>
          <w:rFonts w:asciiTheme="minorHAnsi" w:hAnsiTheme="minorHAnsi" w:cstheme="minorHAnsi"/>
          <w:b/>
          <w:bCs/>
          <w:color w:val="000000"/>
        </w:rPr>
        <w:t>DASSAULT SYSTEMES</w:t>
      </w:r>
    </w:p>
    <w:p w14:paraId="0BDF19BE" w14:textId="77777777" w:rsidR="0044035E" w:rsidRPr="00CA4A72" w:rsidRDefault="0044035E" w:rsidP="0044035E">
      <w:pPr>
        <w:autoSpaceDE w:val="0"/>
        <w:autoSpaceDN w:val="0"/>
        <w:adjustRightInd w:val="0"/>
        <w:ind w:right="-306"/>
        <w:jc w:val="center"/>
        <w:rPr>
          <w:rFonts w:asciiTheme="minorHAnsi" w:hAnsiTheme="minorHAnsi" w:cstheme="minorHAnsi"/>
          <w:b/>
          <w:bCs/>
          <w:color w:val="000000"/>
        </w:rPr>
      </w:pPr>
      <w:r w:rsidRPr="00CA4A72">
        <w:rPr>
          <w:rFonts w:asciiTheme="minorHAnsi" w:hAnsiTheme="minorHAnsi" w:cstheme="minorHAnsi"/>
          <w:b/>
          <w:bCs/>
          <w:color w:val="000000"/>
        </w:rPr>
        <w:t>CONDENSED CONSOLIDATED STATEMENTS OF INCOME (IFRS)</w:t>
      </w:r>
    </w:p>
    <w:p w14:paraId="08EB57E8" w14:textId="77777777" w:rsidR="0044035E" w:rsidRPr="00CA4A72" w:rsidRDefault="0044035E" w:rsidP="0044035E">
      <w:pPr>
        <w:autoSpaceDE w:val="0"/>
        <w:autoSpaceDN w:val="0"/>
        <w:adjustRightInd w:val="0"/>
        <w:ind w:right="-306"/>
        <w:jc w:val="center"/>
        <w:rPr>
          <w:rFonts w:asciiTheme="minorHAnsi" w:eastAsia="MS Mincho" w:hAnsiTheme="minorHAnsi" w:cstheme="minorHAnsi"/>
          <w:bCs/>
          <w:color w:val="000000"/>
          <w:sz w:val="20"/>
          <w:lang w:eastAsia="ja-JP"/>
        </w:rPr>
      </w:pPr>
      <w:r w:rsidRPr="00CA4A72">
        <w:rPr>
          <w:rFonts w:asciiTheme="minorHAnsi" w:eastAsia="MS Mincho" w:hAnsiTheme="minorHAnsi" w:cstheme="minorHAnsi"/>
          <w:bCs/>
          <w:color w:val="000000"/>
          <w:sz w:val="20"/>
          <w:lang w:eastAsia="ja-JP"/>
        </w:rPr>
        <w:t>(</w:t>
      </w:r>
      <w:proofErr w:type="gramStart"/>
      <w:r w:rsidRPr="00CA4A72">
        <w:rPr>
          <w:rFonts w:asciiTheme="minorHAnsi" w:eastAsia="MS Mincho" w:hAnsiTheme="minorHAnsi" w:cstheme="minorHAnsi"/>
          <w:bCs/>
          <w:color w:val="000000"/>
          <w:sz w:val="20"/>
          <w:lang w:eastAsia="ja-JP"/>
        </w:rPr>
        <w:t>unaudited</w:t>
      </w:r>
      <w:proofErr w:type="gramEnd"/>
      <w:r w:rsidRPr="00CA4A72">
        <w:rPr>
          <w:rFonts w:asciiTheme="minorHAnsi" w:eastAsia="MS Mincho" w:hAnsiTheme="minorHAnsi" w:cstheme="minorHAnsi"/>
          <w:bCs/>
          <w:color w:val="000000"/>
          <w:sz w:val="20"/>
          <w:lang w:eastAsia="ja-JP"/>
        </w:rPr>
        <w:t>; in millions of Euros, except per share data and percentages)</w:t>
      </w:r>
    </w:p>
    <w:p w14:paraId="47981681" w14:textId="77777777" w:rsidR="0044035E" w:rsidRPr="00CA4A72" w:rsidRDefault="0044035E" w:rsidP="0044035E">
      <w:pPr>
        <w:autoSpaceDE w:val="0"/>
        <w:autoSpaceDN w:val="0"/>
        <w:adjustRightInd w:val="0"/>
        <w:ind w:right="-306"/>
        <w:jc w:val="center"/>
        <w:rPr>
          <w:rFonts w:asciiTheme="minorHAnsi" w:eastAsia="MS Mincho" w:hAnsiTheme="minorHAnsi" w:cstheme="minorHAnsi"/>
          <w:bCs/>
          <w:color w:val="000000"/>
          <w:sz w:val="16"/>
          <w:szCs w:val="16"/>
          <w:lang w:eastAsia="ja-JP"/>
        </w:rPr>
      </w:pPr>
    </w:p>
    <w:tbl>
      <w:tblPr>
        <w:tblW w:w="96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5"/>
        <w:gridCol w:w="1416"/>
        <w:gridCol w:w="1416"/>
        <w:gridCol w:w="1416"/>
        <w:gridCol w:w="1416"/>
      </w:tblGrid>
      <w:tr w:rsidR="0044035E" w:rsidRPr="00CA4A72" w14:paraId="3D9AD387" w14:textId="77777777" w:rsidTr="006A1A41">
        <w:trPr>
          <w:trHeight w:val="227"/>
        </w:trPr>
        <w:tc>
          <w:tcPr>
            <w:tcW w:w="3965" w:type="dxa"/>
            <w:vMerge w:val="restart"/>
            <w:tcBorders>
              <w:top w:val="single" w:sz="4" w:space="0" w:color="auto"/>
              <w:bottom w:val="single" w:sz="4" w:space="0" w:color="auto"/>
              <w:right w:val="single" w:sz="4" w:space="0" w:color="auto"/>
            </w:tcBorders>
            <w:shd w:val="clear" w:color="auto" w:fill="auto"/>
            <w:vAlign w:val="center"/>
          </w:tcPr>
          <w:p w14:paraId="30A427AF" w14:textId="77777777" w:rsidR="0044035E" w:rsidRPr="00CA4A72" w:rsidRDefault="0044035E" w:rsidP="006A1A41">
            <w:pPr>
              <w:spacing w:line="276" w:lineRule="auto"/>
              <w:jc w:val="center"/>
              <w:rPr>
                <w:rFonts w:asciiTheme="minorHAnsi" w:hAnsiTheme="minorHAnsi" w:cstheme="minorHAnsi"/>
                <w:sz w:val="12"/>
                <w:szCs w:val="12"/>
              </w:rPr>
            </w:pPr>
            <w:r w:rsidRPr="00CA4A72">
              <w:rPr>
                <w:rFonts w:asciiTheme="minorHAnsi" w:hAnsiTheme="minorHAnsi" w:cstheme="minorHAnsi"/>
                <w:sz w:val="12"/>
                <w:szCs w:val="12"/>
              </w:rPr>
              <w:t>In millions of Euros, except per share data and percentages</w:t>
            </w:r>
          </w:p>
        </w:tc>
        <w:tc>
          <w:tcPr>
            <w:tcW w:w="5664" w:type="dxa"/>
            <w:gridSpan w:val="4"/>
            <w:tcBorders>
              <w:top w:val="single" w:sz="4" w:space="0" w:color="auto"/>
              <w:left w:val="single" w:sz="4" w:space="0" w:color="auto"/>
              <w:bottom w:val="single" w:sz="4" w:space="0" w:color="auto"/>
            </w:tcBorders>
            <w:vAlign w:val="center"/>
          </w:tcPr>
          <w:p w14:paraId="24932FBB" w14:textId="77777777" w:rsidR="0044035E" w:rsidRPr="00CA4A72" w:rsidRDefault="0044035E" w:rsidP="006A1A41">
            <w:pPr>
              <w:spacing w:line="276" w:lineRule="auto"/>
              <w:jc w:val="center"/>
              <w:rPr>
                <w:rFonts w:asciiTheme="minorHAnsi" w:hAnsiTheme="minorHAnsi" w:cstheme="minorHAnsi"/>
                <w:b/>
                <w:bCs/>
                <w:sz w:val="12"/>
                <w:szCs w:val="12"/>
              </w:rPr>
            </w:pPr>
            <w:r w:rsidRPr="00CA4A72">
              <w:rPr>
                <w:rFonts w:asciiTheme="minorHAnsi" w:hAnsiTheme="minorHAnsi" w:cstheme="minorHAnsi"/>
                <w:b/>
                <w:bCs/>
                <w:sz w:val="12"/>
                <w:szCs w:val="12"/>
              </w:rPr>
              <w:t>IFRS reported</w:t>
            </w:r>
          </w:p>
        </w:tc>
      </w:tr>
      <w:tr w:rsidR="0044035E" w:rsidRPr="00CA4A72" w14:paraId="43435B8D" w14:textId="77777777" w:rsidTr="006A1A41">
        <w:trPr>
          <w:trHeight w:val="227"/>
        </w:trPr>
        <w:tc>
          <w:tcPr>
            <w:tcW w:w="3965" w:type="dxa"/>
            <w:vMerge/>
            <w:tcBorders>
              <w:top w:val="nil"/>
              <w:bottom w:val="single" w:sz="4" w:space="0" w:color="auto"/>
              <w:right w:val="single" w:sz="4" w:space="0" w:color="auto"/>
            </w:tcBorders>
            <w:shd w:val="clear" w:color="auto" w:fill="auto"/>
            <w:vAlign w:val="center"/>
            <w:hideMark/>
          </w:tcPr>
          <w:p w14:paraId="77B1BD87" w14:textId="77777777" w:rsidR="0044035E" w:rsidRPr="00CA4A72" w:rsidRDefault="0044035E" w:rsidP="006A1A41">
            <w:pPr>
              <w:spacing w:line="276" w:lineRule="auto"/>
              <w:jc w:val="center"/>
              <w:rPr>
                <w:rFonts w:asciiTheme="minorHAnsi" w:eastAsia="Times New Roman" w:hAnsiTheme="minorHAnsi" w:cstheme="minorHAnsi"/>
                <w:sz w:val="12"/>
                <w:szCs w:val="12"/>
                <w:lang w:eastAsia="en-GB"/>
              </w:rPr>
            </w:pPr>
          </w:p>
        </w:tc>
        <w:tc>
          <w:tcPr>
            <w:tcW w:w="2832" w:type="dxa"/>
            <w:gridSpan w:val="2"/>
            <w:tcBorders>
              <w:top w:val="single" w:sz="4" w:space="0" w:color="auto"/>
              <w:left w:val="single" w:sz="4" w:space="0" w:color="auto"/>
              <w:bottom w:val="single" w:sz="4" w:space="0" w:color="auto"/>
              <w:right w:val="single" w:sz="4" w:space="0" w:color="auto"/>
            </w:tcBorders>
            <w:vAlign w:val="center"/>
            <w:hideMark/>
          </w:tcPr>
          <w:p w14:paraId="78C0DBED" w14:textId="77777777" w:rsidR="0044035E" w:rsidRPr="00CA4A72" w:rsidRDefault="0044035E" w:rsidP="006A1A41">
            <w:pPr>
              <w:spacing w:line="276" w:lineRule="auto"/>
              <w:jc w:val="center"/>
              <w:rPr>
                <w:rFonts w:asciiTheme="minorHAnsi" w:hAnsiTheme="minorHAnsi" w:cstheme="minorHAnsi"/>
                <w:b/>
                <w:bCs/>
                <w:sz w:val="12"/>
                <w:szCs w:val="12"/>
              </w:rPr>
            </w:pPr>
            <w:r>
              <w:rPr>
                <w:rFonts w:asciiTheme="minorHAnsi" w:hAnsiTheme="minorHAnsi" w:cstheme="minorHAnsi"/>
                <w:b/>
                <w:bCs/>
                <w:sz w:val="12"/>
                <w:szCs w:val="12"/>
              </w:rPr>
              <w:t>Three</w:t>
            </w:r>
            <w:r w:rsidRPr="00CA4A72">
              <w:rPr>
                <w:rFonts w:asciiTheme="minorHAnsi" w:hAnsiTheme="minorHAnsi" w:cstheme="minorHAnsi"/>
                <w:b/>
                <w:bCs/>
                <w:sz w:val="12"/>
                <w:szCs w:val="12"/>
              </w:rPr>
              <w:t xml:space="preserve"> months ended</w:t>
            </w:r>
          </w:p>
        </w:tc>
        <w:tc>
          <w:tcPr>
            <w:tcW w:w="2832" w:type="dxa"/>
            <w:gridSpan w:val="2"/>
            <w:tcBorders>
              <w:top w:val="single" w:sz="4" w:space="0" w:color="auto"/>
              <w:left w:val="single" w:sz="4" w:space="0" w:color="auto"/>
              <w:bottom w:val="single" w:sz="4" w:space="0" w:color="auto"/>
            </w:tcBorders>
            <w:vAlign w:val="center"/>
          </w:tcPr>
          <w:p w14:paraId="19C204EB" w14:textId="77777777" w:rsidR="0044035E" w:rsidRPr="00CA4A72" w:rsidRDefault="0044035E" w:rsidP="006A1A41">
            <w:pPr>
              <w:spacing w:line="276" w:lineRule="auto"/>
              <w:jc w:val="center"/>
              <w:rPr>
                <w:rFonts w:asciiTheme="minorHAnsi" w:hAnsiTheme="minorHAnsi" w:cstheme="minorHAnsi"/>
                <w:b/>
                <w:bCs/>
                <w:sz w:val="12"/>
                <w:szCs w:val="12"/>
              </w:rPr>
            </w:pPr>
            <w:r>
              <w:rPr>
                <w:rFonts w:asciiTheme="minorHAnsi" w:hAnsiTheme="minorHAnsi" w:cstheme="minorHAnsi"/>
                <w:b/>
                <w:bCs/>
                <w:sz w:val="12"/>
                <w:szCs w:val="12"/>
              </w:rPr>
              <w:t>Six</w:t>
            </w:r>
            <w:r w:rsidRPr="00CA4A72">
              <w:rPr>
                <w:rFonts w:asciiTheme="minorHAnsi" w:hAnsiTheme="minorHAnsi" w:cstheme="minorHAnsi"/>
                <w:b/>
                <w:bCs/>
                <w:sz w:val="12"/>
                <w:szCs w:val="12"/>
              </w:rPr>
              <w:t xml:space="preserve"> months ended</w:t>
            </w:r>
          </w:p>
        </w:tc>
      </w:tr>
      <w:tr w:rsidR="0044035E" w:rsidRPr="00CA4A72" w14:paraId="05A394A5" w14:textId="77777777" w:rsidTr="006A1A41">
        <w:trPr>
          <w:trHeight w:val="170"/>
        </w:trPr>
        <w:tc>
          <w:tcPr>
            <w:tcW w:w="3965" w:type="dxa"/>
            <w:vMerge/>
            <w:tcBorders>
              <w:top w:val="nil"/>
              <w:bottom w:val="single" w:sz="4" w:space="0" w:color="auto"/>
              <w:right w:val="single" w:sz="4" w:space="0" w:color="auto"/>
            </w:tcBorders>
            <w:vAlign w:val="center"/>
            <w:hideMark/>
          </w:tcPr>
          <w:p w14:paraId="0A1C0233"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p>
        </w:tc>
        <w:tc>
          <w:tcPr>
            <w:tcW w:w="1416" w:type="dxa"/>
            <w:tcBorders>
              <w:top w:val="single" w:sz="4" w:space="0" w:color="auto"/>
              <w:left w:val="single" w:sz="4" w:space="0" w:color="auto"/>
              <w:bottom w:val="nil"/>
              <w:right w:val="single" w:sz="4" w:space="0" w:color="auto"/>
            </w:tcBorders>
            <w:vAlign w:val="bottom"/>
            <w:hideMark/>
          </w:tcPr>
          <w:p w14:paraId="6F8D0710" w14:textId="77777777" w:rsidR="0044035E" w:rsidRPr="00D946AA" w:rsidRDefault="0044035E" w:rsidP="006A1A41">
            <w:pPr>
              <w:spacing w:line="276" w:lineRule="auto"/>
              <w:jc w:val="center"/>
              <w:rPr>
                <w:rFonts w:asciiTheme="minorHAnsi" w:eastAsia="Times New Roman" w:hAnsiTheme="minorHAnsi" w:cstheme="minorHAnsi"/>
                <w:b/>
                <w:bCs/>
                <w:sz w:val="12"/>
                <w:szCs w:val="12"/>
                <w:lang w:eastAsia="en-GB"/>
              </w:rPr>
            </w:pPr>
            <w:r w:rsidRPr="00D946AA">
              <w:rPr>
                <w:rFonts w:asciiTheme="minorHAnsi" w:eastAsia="Times New Roman" w:hAnsiTheme="minorHAnsi" w:cstheme="minorHAnsi"/>
                <w:b/>
                <w:bCs/>
                <w:sz w:val="12"/>
                <w:szCs w:val="12"/>
                <w:lang w:eastAsia="en-GB"/>
              </w:rPr>
              <w:t>June 30,</w:t>
            </w:r>
          </w:p>
        </w:tc>
        <w:tc>
          <w:tcPr>
            <w:tcW w:w="1416" w:type="dxa"/>
            <w:tcBorders>
              <w:top w:val="single" w:sz="4" w:space="0" w:color="auto"/>
              <w:left w:val="single" w:sz="4" w:space="0" w:color="auto"/>
              <w:bottom w:val="nil"/>
              <w:right w:val="single" w:sz="4" w:space="0" w:color="auto"/>
            </w:tcBorders>
            <w:vAlign w:val="bottom"/>
            <w:hideMark/>
          </w:tcPr>
          <w:p w14:paraId="1054D4EC" w14:textId="77777777" w:rsidR="0044035E" w:rsidRPr="00D946AA" w:rsidRDefault="0044035E" w:rsidP="006A1A41">
            <w:pPr>
              <w:spacing w:line="276" w:lineRule="auto"/>
              <w:jc w:val="center"/>
              <w:rPr>
                <w:rFonts w:asciiTheme="minorHAnsi" w:eastAsia="Times New Roman" w:hAnsiTheme="minorHAnsi" w:cstheme="minorHAnsi"/>
                <w:b/>
                <w:bCs/>
                <w:sz w:val="12"/>
                <w:szCs w:val="12"/>
                <w:lang w:eastAsia="en-GB"/>
              </w:rPr>
            </w:pPr>
            <w:r w:rsidRPr="00D946AA">
              <w:rPr>
                <w:rFonts w:asciiTheme="minorHAnsi" w:eastAsia="Times New Roman" w:hAnsiTheme="minorHAnsi" w:cstheme="minorHAnsi"/>
                <w:b/>
                <w:bCs/>
                <w:sz w:val="12"/>
                <w:szCs w:val="12"/>
                <w:lang w:eastAsia="en-GB"/>
              </w:rPr>
              <w:t>June 30,</w:t>
            </w:r>
          </w:p>
        </w:tc>
        <w:tc>
          <w:tcPr>
            <w:tcW w:w="1416" w:type="dxa"/>
            <w:tcBorders>
              <w:top w:val="single" w:sz="4" w:space="0" w:color="auto"/>
              <w:left w:val="single" w:sz="4" w:space="0" w:color="auto"/>
              <w:bottom w:val="nil"/>
              <w:right w:val="single" w:sz="4" w:space="0" w:color="auto"/>
            </w:tcBorders>
            <w:vAlign w:val="bottom"/>
          </w:tcPr>
          <w:p w14:paraId="217908A0" w14:textId="77777777" w:rsidR="0044035E" w:rsidRPr="00D946AA" w:rsidRDefault="0044035E" w:rsidP="006A1A41">
            <w:pPr>
              <w:spacing w:line="276" w:lineRule="auto"/>
              <w:jc w:val="center"/>
              <w:rPr>
                <w:rFonts w:asciiTheme="minorHAnsi" w:eastAsia="Times New Roman" w:hAnsiTheme="minorHAnsi" w:cstheme="minorHAnsi"/>
                <w:b/>
                <w:bCs/>
                <w:sz w:val="12"/>
                <w:szCs w:val="12"/>
                <w:lang w:eastAsia="en-GB"/>
              </w:rPr>
            </w:pPr>
            <w:r w:rsidRPr="00D946AA">
              <w:rPr>
                <w:rFonts w:asciiTheme="minorHAnsi" w:eastAsia="Times New Roman" w:hAnsiTheme="minorHAnsi" w:cstheme="minorHAnsi"/>
                <w:b/>
                <w:bCs/>
                <w:sz w:val="12"/>
                <w:szCs w:val="12"/>
                <w:lang w:eastAsia="en-GB"/>
              </w:rPr>
              <w:t>June 30,</w:t>
            </w:r>
          </w:p>
        </w:tc>
        <w:tc>
          <w:tcPr>
            <w:tcW w:w="1416" w:type="dxa"/>
            <w:tcBorders>
              <w:top w:val="single" w:sz="4" w:space="0" w:color="auto"/>
              <w:left w:val="single" w:sz="4" w:space="0" w:color="auto"/>
              <w:bottom w:val="nil"/>
            </w:tcBorders>
            <w:vAlign w:val="bottom"/>
          </w:tcPr>
          <w:p w14:paraId="3B4CA004" w14:textId="77777777" w:rsidR="0044035E" w:rsidRPr="00D946AA" w:rsidRDefault="0044035E" w:rsidP="006A1A41">
            <w:pPr>
              <w:spacing w:line="276" w:lineRule="auto"/>
              <w:jc w:val="center"/>
              <w:rPr>
                <w:rFonts w:asciiTheme="minorHAnsi" w:eastAsia="Times New Roman" w:hAnsiTheme="minorHAnsi" w:cstheme="minorHAnsi"/>
                <w:b/>
                <w:bCs/>
                <w:sz w:val="12"/>
                <w:szCs w:val="12"/>
                <w:lang w:eastAsia="en-GB"/>
              </w:rPr>
            </w:pPr>
            <w:r w:rsidRPr="00D946AA">
              <w:rPr>
                <w:rFonts w:asciiTheme="minorHAnsi" w:eastAsia="Times New Roman" w:hAnsiTheme="minorHAnsi" w:cstheme="minorHAnsi"/>
                <w:b/>
                <w:bCs/>
                <w:sz w:val="12"/>
                <w:szCs w:val="12"/>
                <w:lang w:eastAsia="en-GB"/>
              </w:rPr>
              <w:t>June 30,</w:t>
            </w:r>
          </w:p>
        </w:tc>
      </w:tr>
      <w:tr w:rsidR="0044035E" w:rsidRPr="00CA4A72" w14:paraId="15322D8E" w14:textId="77777777" w:rsidTr="006A1A41">
        <w:trPr>
          <w:trHeight w:val="170"/>
        </w:trPr>
        <w:tc>
          <w:tcPr>
            <w:tcW w:w="3965" w:type="dxa"/>
            <w:vMerge/>
            <w:tcBorders>
              <w:top w:val="nil"/>
              <w:bottom w:val="single" w:sz="4" w:space="0" w:color="auto"/>
              <w:right w:val="single" w:sz="4" w:space="0" w:color="auto"/>
            </w:tcBorders>
            <w:vAlign w:val="center"/>
            <w:hideMark/>
          </w:tcPr>
          <w:p w14:paraId="6F8A3396"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p>
        </w:tc>
        <w:tc>
          <w:tcPr>
            <w:tcW w:w="1416" w:type="dxa"/>
            <w:tcBorders>
              <w:top w:val="nil"/>
              <w:left w:val="single" w:sz="4" w:space="0" w:color="auto"/>
              <w:bottom w:val="single" w:sz="4" w:space="0" w:color="auto"/>
              <w:right w:val="single" w:sz="4" w:space="0" w:color="auto"/>
            </w:tcBorders>
            <w:hideMark/>
          </w:tcPr>
          <w:p w14:paraId="23EA03CB" w14:textId="77777777" w:rsidR="0044035E" w:rsidRPr="00D946AA" w:rsidRDefault="0044035E" w:rsidP="006A1A41">
            <w:pPr>
              <w:spacing w:line="276" w:lineRule="auto"/>
              <w:jc w:val="center"/>
              <w:rPr>
                <w:rFonts w:asciiTheme="minorHAnsi" w:eastAsia="Times New Roman" w:hAnsiTheme="minorHAnsi" w:cstheme="minorHAnsi"/>
                <w:b/>
                <w:bCs/>
                <w:sz w:val="12"/>
                <w:szCs w:val="12"/>
                <w:lang w:eastAsia="en-GB"/>
              </w:rPr>
            </w:pPr>
            <w:r w:rsidRPr="00D946AA">
              <w:rPr>
                <w:rFonts w:asciiTheme="minorHAnsi" w:eastAsia="Times New Roman" w:hAnsiTheme="minorHAnsi" w:cstheme="minorHAnsi"/>
                <w:b/>
                <w:bCs/>
                <w:sz w:val="12"/>
                <w:szCs w:val="12"/>
                <w:lang w:eastAsia="en-GB"/>
              </w:rPr>
              <w:t>2020</w:t>
            </w:r>
          </w:p>
        </w:tc>
        <w:tc>
          <w:tcPr>
            <w:tcW w:w="1416" w:type="dxa"/>
            <w:tcBorders>
              <w:top w:val="nil"/>
              <w:left w:val="single" w:sz="4" w:space="0" w:color="auto"/>
              <w:bottom w:val="single" w:sz="4" w:space="0" w:color="auto"/>
              <w:right w:val="single" w:sz="4" w:space="0" w:color="auto"/>
            </w:tcBorders>
            <w:hideMark/>
          </w:tcPr>
          <w:p w14:paraId="63A057CA" w14:textId="77777777" w:rsidR="0044035E" w:rsidRPr="00D946AA" w:rsidRDefault="0044035E" w:rsidP="006A1A41">
            <w:pPr>
              <w:spacing w:line="276" w:lineRule="auto"/>
              <w:jc w:val="center"/>
              <w:rPr>
                <w:rFonts w:asciiTheme="minorHAnsi" w:eastAsia="Times New Roman" w:hAnsiTheme="minorHAnsi" w:cstheme="minorHAnsi"/>
                <w:b/>
                <w:bCs/>
                <w:sz w:val="12"/>
                <w:szCs w:val="12"/>
                <w:lang w:eastAsia="en-GB"/>
              </w:rPr>
            </w:pPr>
            <w:r w:rsidRPr="00D946AA">
              <w:rPr>
                <w:rFonts w:asciiTheme="minorHAnsi" w:eastAsia="Times New Roman" w:hAnsiTheme="minorHAnsi" w:cstheme="minorHAnsi"/>
                <w:b/>
                <w:bCs/>
                <w:sz w:val="12"/>
                <w:szCs w:val="12"/>
                <w:lang w:eastAsia="en-GB"/>
              </w:rPr>
              <w:t>2019</w:t>
            </w:r>
          </w:p>
        </w:tc>
        <w:tc>
          <w:tcPr>
            <w:tcW w:w="1416" w:type="dxa"/>
            <w:tcBorders>
              <w:top w:val="nil"/>
              <w:left w:val="single" w:sz="4" w:space="0" w:color="auto"/>
              <w:bottom w:val="single" w:sz="4" w:space="0" w:color="auto"/>
              <w:right w:val="single" w:sz="4" w:space="0" w:color="auto"/>
            </w:tcBorders>
          </w:tcPr>
          <w:p w14:paraId="1954C072" w14:textId="77777777" w:rsidR="0044035E" w:rsidRPr="00D946AA" w:rsidRDefault="0044035E" w:rsidP="006A1A41">
            <w:pPr>
              <w:spacing w:line="276" w:lineRule="auto"/>
              <w:jc w:val="center"/>
              <w:rPr>
                <w:rFonts w:asciiTheme="minorHAnsi" w:eastAsia="Times New Roman" w:hAnsiTheme="minorHAnsi" w:cstheme="minorHAnsi"/>
                <w:b/>
                <w:bCs/>
                <w:sz w:val="12"/>
                <w:szCs w:val="12"/>
                <w:lang w:eastAsia="en-GB"/>
              </w:rPr>
            </w:pPr>
            <w:r w:rsidRPr="00D946AA">
              <w:rPr>
                <w:rFonts w:asciiTheme="minorHAnsi" w:eastAsia="Times New Roman" w:hAnsiTheme="minorHAnsi" w:cstheme="minorHAnsi"/>
                <w:b/>
                <w:bCs/>
                <w:sz w:val="12"/>
                <w:szCs w:val="12"/>
                <w:lang w:eastAsia="en-GB"/>
              </w:rPr>
              <w:t>2020</w:t>
            </w:r>
          </w:p>
        </w:tc>
        <w:tc>
          <w:tcPr>
            <w:tcW w:w="1416" w:type="dxa"/>
            <w:tcBorders>
              <w:top w:val="nil"/>
              <w:left w:val="single" w:sz="4" w:space="0" w:color="auto"/>
              <w:bottom w:val="single" w:sz="4" w:space="0" w:color="auto"/>
            </w:tcBorders>
          </w:tcPr>
          <w:p w14:paraId="636783A5" w14:textId="77777777" w:rsidR="0044035E" w:rsidRPr="00D946AA" w:rsidRDefault="0044035E" w:rsidP="006A1A41">
            <w:pPr>
              <w:spacing w:line="276" w:lineRule="auto"/>
              <w:jc w:val="center"/>
              <w:rPr>
                <w:rFonts w:asciiTheme="minorHAnsi" w:eastAsia="Times New Roman" w:hAnsiTheme="minorHAnsi" w:cstheme="minorHAnsi"/>
                <w:b/>
                <w:bCs/>
                <w:sz w:val="12"/>
                <w:szCs w:val="12"/>
                <w:lang w:eastAsia="en-GB"/>
              </w:rPr>
            </w:pPr>
            <w:r w:rsidRPr="00D946AA">
              <w:rPr>
                <w:rFonts w:asciiTheme="minorHAnsi" w:eastAsia="Times New Roman" w:hAnsiTheme="minorHAnsi" w:cstheme="minorHAnsi"/>
                <w:b/>
                <w:bCs/>
                <w:sz w:val="12"/>
                <w:szCs w:val="12"/>
                <w:lang w:eastAsia="en-GB"/>
              </w:rPr>
              <w:t>2019</w:t>
            </w:r>
          </w:p>
        </w:tc>
      </w:tr>
      <w:tr w:rsidR="0044035E" w:rsidRPr="00CA4A72" w14:paraId="64637B7D" w14:textId="77777777" w:rsidTr="006A1A41">
        <w:trPr>
          <w:trHeight w:val="170"/>
        </w:trPr>
        <w:tc>
          <w:tcPr>
            <w:tcW w:w="3965" w:type="dxa"/>
            <w:tcBorders>
              <w:top w:val="single" w:sz="4" w:space="0" w:color="auto"/>
              <w:bottom w:val="nil"/>
              <w:right w:val="single" w:sz="4" w:space="0" w:color="auto"/>
            </w:tcBorders>
            <w:shd w:val="clear" w:color="auto" w:fill="auto"/>
            <w:vAlign w:val="center"/>
            <w:hideMark/>
          </w:tcPr>
          <w:p w14:paraId="410A678B" w14:textId="77777777" w:rsidR="0044035E" w:rsidRPr="00CA4A72" w:rsidRDefault="0044035E" w:rsidP="006A1A41">
            <w:pPr>
              <w:keepNext/>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Licenses and other software revenue</w:t>
            </w:r>
          </w:p>
        </w:tc>
        <w:tc>
          <w:tcPr>
            <w:tcW w:w="1416" w:type="dxa"/>
            <w:tcBorders>
              <w:top w:val="single" w:sz="4" w:space="0" w:color="auto"/>
              <w:left w:val="single" w:sz="4" w:space="0" w:color="auto"/>
              <w:bottom w:val="nil"/>
              <w:right w:val="single" w:sz="4" w:space="0" w:color="auto"/>
            </w:tcBorders>
            <w:shd w:val="clear" w:color="auto" w:fill="auto"/>
            <w:vAlign w:val="center"/>
          </w:tcPr>
          <w:p w14:paraId="473319DC"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 xml:space="preserve">169.3 </w:t>
            </w:r>
          </w:p>
        </w:tc>
        <w:tc>
          <w:tcPr>
            <w:tcW w:w="1416" w:type="dxa"/>
            <w:tcBorders>
              <w:top w:val="single" w:sz="4" w:space="0" w:color="auto"/>
              <w:left w:val="single" w:sz="4" w:space="0" w:color="auto"/>
              <w:bottom w:val="nil"/>
              <w:right w:val="single" w:sz="4" w:space="0" w:color="auto"/>
            </w:tcBorders>
            <w:shd w:val="clear" w:color="auto" w:fill="auto"/>
            <w:vAlign w:val="center"/>
          </w:tcPr>
          <w:p w14:paraId="0E73E903"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hAnsiTheme="minorHAnsi" w:cstheme="minorHAnsi"/>
                <w:sz w:val="12"/>
                <w:szCs w:val="12"/>
              </w:rPr>
              <w:t xml:space="preserve">248.5 </w:t>
            </w:r>
          </w:p>
        </w:tc>
        <w:tc>
          <w:tcPr>
            <w:tcW w:w="1416" w:type="dxa"/>
            <w:tcBorders>
              <w:top w:val="single" w:sz="4" w:space="0" w:color="auto"/>
              <w:left w:val="single" w:sz="4" w:space="0" w:color="auto"/>
              <w:bottom w:val="nil"/>
              <w:right w:val="single" w:sz="4" w:space="0" w:color="auto"/>
            </w:tcBorders>
            <w:shd w:val="clear" w:color="auto" w:fill="auto"/>
            <w:vAlign w:val="center"/>
          </w:tcPr>
          <w:p w14:paraId="0FBED4A3"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color w:val="000000"/>
                <w:sz w:val="12"/>
                <w:szCs w:val="12"/>
              </w:rPr>
              <w:t xml:space="preserve">341.5 </w:t>
            </w:r>
          </w:p>
        </w:tc>
        <w:tc>
          <w:tcPr>
            <w:tcW w:w="1416" w:type="dxa"/>
            <w:tcBorders>
              <w:top w:val="single" w:sz="4" w:space="0" w:color="auto"/>
              <w:left w:val="single" w:sz="4" w:space="0" w:color="auto"/>
              <w:bottom w:val="nil"/>
            </w:tcBorders>
            <w:shd w:val="clear" w:color="auto" w:fill="auto"/>
            <w:vAlign w:val="center"/>
          </w:tcPr>
          <w:p w14:paraId="26F01BB3"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sz w:val="12"/>
                <w:szCs w:val="12"/>
              </w:rPr>
              <w:t xml:space="preserve">461.8 </w:t>
            </w:r>
          </w:p>
        </w:tc>
      </w:tr>
      <w:tr w:rsidR="0044035E" w:rsidRPr="00CA4A72" w14:paraId="29227FE5" w14:textId="77777777" w:rsidTr="006A1A41">
        <w:trPr>
          <w:trHeight w:val="170"/>
        </w:trPr>
        <w:tc>
          <w:tcPr>
            <w:tcW w:w="3965" w:type="dxa"/>
            <w:tcBorders>
              <w:top w:val="nil"/>
              <w:bottom w:val="nil"/>
              <w:right w:val="single" w:sz="4" w:space="0" w:color="auto"/>
            </w:tcBorders>
            <w:shd w:val="clear" w:color="auto" w:fill="auto"/>
            <w:vAlign w:val="center"/>
            <w:hideMark/>
          </w:tcPr>
          <w:p w14:paraId="578565F7" w14:textId="77777777" w:rsidR="0044035E" w:rsidRPr="00CA4A72" w:rsidRDefault="0044035E" w:rsidP="006A1A41">
            <w:pPr>
              <w:keepNext/>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Subscription and Support revenue</w:t>
            </w:r>
          </w:p>
        </w:tc>
        <w:tc>
          <w:tcPr>
            <w:tcW w:w="1416" w:type="dxa"/>
            <w:tcBorders>
              <w:top w:val="nil"/>
              <w:left w:val="single" w:sz="4" w:space="0" w:color="auto"/>
              <w:bottom w:val="single" w:sz="4" w:space="0" w:color="auto"/>
              <w:right w:val="single" w:sz="4" w:space="0" w:color="auto"/>
            </w:tcBorders>
            <w:shd w:val="clear" w:color="auto" w:fill="auto"/>
            <w:vAlign w:val="center"/>
          </w:tcPr>
          <w:p w14:paraId="33A5A2BA"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 xml:space="preserve">789.5 </w:t>
            </w:r>
          </w:p>
        </w:tc>
        <w:tc>
          <w:tcPr>
            <w:tcW w:w="1416" w:type="dxa"/>
            <w:tcBorders>
              <w:top w:val="nil"/>
              <w:left w:val="single" w:sz="4" w:space="0" w:color="auto"/>
              <w:bottom w:val="single" w:sz="4" w:space="0" w:color="auto"/>
              <w:right w:val="single" w:sz="4" w:space="0" w:color="auto"/>
            </w:tcBorders>
            <w:shd w:val="clear" w:color="auto" w:fill="auto"/>
            <w:vAlign w:val="center"/>
          </w:tcPr>
          <w:p w14:paraId="746085EB"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hAnsiTheme="minorHAnsi" w:cstheme="minorHAnsi"/>
                <w:sz w:val="12"/>
                <w:szCs w:val="12"/>
              </w:rPr>
              <w:t xml:space="preserve">598.9 </w:t>
            </w:r>
          </w:p>
        </w:tc>
        <w:tc>
          <w:tcPr>
            <w:tcW w:w="1416" w:type="dxa"/>
            <w:tcBorders>
              <w:top w:val="nil"/>
              <w:left w:val="single" w:sz="4" w:space="0" w:color="auto"/>
              <w:bottom w:val="single" w:sz="4" w:space="0" w:color="auto"/>
              <w:right w:val="single" w:sz="4" w:space="0" w:color="auto"/>
            </w:tcBorders>
            <w:shd w:val="clear" w:color="auto" w:fill="auto"/>
            <w:vAlign w:val="center"/>
          </w:tcPr>
          <w:p w14:paraId="35FE8C19"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color w:val="000000"/>
                <w:sz w:val="12"/>
                <w:szCs w:val="12"/>
              </w:rPr>
              <w:t xml:space="preserve">1,631.4 </w:t>
            </w:r>
          </w:p>
        </w:tc>
        <w:tc>
          <w:tcPr>
            <w:tcW w:w="1416" w:type="dxa"/>
            <w:tcBorders>
              <w:top w:val="nil"/>
              <w:left w:val="single" w:sz="4" w:space="0" w:color="auto"/>
              <w:bottom w:val="single" w:sz="4" w:space="0" w:color="auto"/>
            </w:tcBorders>
            <w:shd w:val="clear" w:color="auto" w:fill="auto"/>
            <w:vAlign w:val="center"/>
          </w:tcPr>
          <w:p w14:paraId="01515B26"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sz w:val="12"/>
                <w:szCs w:val="12"/>
              </w:rPr>
              <w:t xml:space="preserve">1,240.9 </w:t>
            </w:r>
          </w:p>
        </w:tc>
      </w:tr>
      <w:tr w:rsidR="0044035E" w:rsidRPr="00CA4A72" w14:paraId="7920F6C1" w14:textId="77777777" w:rsidTr="006A1A41">
        <w:trPr>
          <w:trHeight w:val="170"/>
        </w:trPr>
        <w:tc>
          <w:tcPr>
            <w:tcW w:w="3965" w:type="dxa"/>
            <w:tcBorders>
              <w:top w:val="nil"/>
              <w:bottom w:val="nil"/>
              <w:right w:val="single" w:sz="4" w:space="0" w:color="auto"/>
            </w:tcBorders>
            <w:shd w:val="clear" w:color="auto" w:fill="auto"/>
            <w:vAlign w:val="center"/>
            <w:hideMark/>
          </w:tcPr>
          <w:p w14:paraId="2B914BC9" w14:textId="77777777" w:rsidR="0044035E" w:rsidRPr="00CA4A72" w:rsidRDefault="0044035E" w:rsidP="006A1A41">
            <w:pPr>
              <w:keepNext/>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Software revenue</w:t>
            </w:r>
          </w:p>
        </w:tc>
        <w:tc>
          <w:tcPr>
            <w:tcW w:w="1416" w:type="dxa"/>
            <w:tcBorders>
              <w:top w:val="single" w:sz="4" w:space="0" w:color="auto"/>
              <w:left w:val="single" w:sz="4" w:space="0" w:color="auto"/>
              <w:bottom w:val="nil"/>
              <w:right w:val="single" w:sz="4" w:space="0" w:color="auto"/>
            </w:tcBorders>
            <w:shd w:val="clear" w:color="auto" w:fill="auto"/>
            <w:vAlign w:val="center"/>
          </w:tcPr>
          <w:p w14:paraId="001529F7"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 xml:space="preserve">958.8 </w:t>
            </w:r>
          </w:p>
        </w:tc>
        <w:tc>
          <w:tcPr>
            <w:tcW w:w="1416" w:type="dxa"/>
            <w:tcBorders>
              <w:top w:val="single" w:sz="4" w:space="0" w:color="auto"/>
              <w:left w:val="nil"/>
              <w:bottom w:val="nil"/>
              <w:right w:val="single" w:sz="4" w:space="0" w:color="auto"/>
            </w:tcBorders>
            <w:shd w:val="clear" w:color="auto" w:fill="auto"/>
            <w:vAlign w:val="center"/>
          </w:tcPr>
          <w:p w14:paraId="46F78C95"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hAnsiTheme="minorHAnsi" w:cstheme="minorHAnsi"/>
                <w:sz w:val="12"/>
                <w:szCs w:val="12"/>
              </w:rPr>
              <w:t xml:space="preserve">847.4 </w:t>
            </w:r>
          </w:p>
        </w:tc>
        <w:tc>
          <w:tcPr>
            <w:tcW w:w="1416" w:type="dxa"/>
            <w:tcBorders>
              <w:top w:val="single" w:sz="4" w:space="0" w:color="auto"/>
              <w:left w:val="single" w:sz="4" w:space="0" w:color="auto"/>
              <w:bottom w:val="nil"/>
              <w:right w:val="single" w:sz="4" w:space="0" w:color="auto"/>
            </w:tcBorders>
            <w:shd w:val="clear" w:color="auto" w:fill="auto"/>
            <w:vAlign w:val="center"/>
          </w:tcPr>
          <w:p w14:paraId="21D919E5"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color w:val="000000"/>
                <w:sz w:val="12"/>
                <w:szCs w:val="12"/>
              </w:rPr>
              <w:t xml:space="preserve">1,973.0 </w:t>
            </w:r>
          </w:p>
        </w:tc>
        <w:tc>
          <w:tcPr>
            <w:tcW w:w="1416" w:type="dxa"/>
            <w:tcBorders>
              <w:top w:val="single" w:sz="4" w:space="0" w:color="auto"/>
              <w:left w:val="single" w:sz="4" w:space="0" w:color="auto"/>
              <w:bottom w:val="nil"/>
            </w:tcBorders>
            <w:shd w:val="clear" w:color="auto" w:fill="auto"/>
            <w:vAlign w:val="center"/>
          </w:tcPr>
          <w:p w14:paraId="20C322F6"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sz w:val="12"/>
                <w:szCs w:val="12"/>
              </w:rPr>
              <w:t xml:space="preserve">1,702.7 </w:t>
            </w:r>
          </w:p>
        </w:tc>
      </w:tr>
      <w:tr w:rsidR="0044035E" w:rsidRPr="00CA4A72" w14:paraId="78CE2571" w14:textId="77777777" w:rsidTr="006A1A41">
        <w:trPr>
          <w:trHeight w:val="170"/>
        </w:trPr>
        <w:tc>
          <w:tcPr>
            <w:tcW w:w="3965" w:type="dxa"/>
            <w:tcBorders>
              <w:top w:val="nil"/>
              <w:bottom w:val="nil"/>
              <w:right w:val="single" w:sz="4" w:space="0" w:color="auto"/>
            </w:tcBorders>
            <w:shd w:val="clear" w:color="auto" w:fill="auto"/>
            <w:vAlign w:val="center"/>
            <w:hideMark/>
          </w:tcPr>
          <w:p w14:paraId="00A73D95" w14:textId="77777777" w:rsidR="0044035E" w:rsidRPr="00CA4A72" w:rsidRDefault="0044035E" w:rsidP="006A1A41">
            <w:pPr>
              <w:keepNext/>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Services revenue</w:t>
            </w:r>
          </w:p>
        </w:tc>
        <w:tc>
          <w:tcPr>
            <w:tcW w:w="1416" w:type="dxa"/>
            <w:tcBorders>
              <w:top w:val="nil"/>
              <w:left w:val="single" w:sz="4" w:space="0" w:color="auto"/>
              <w:bottom w:val="single" w:sz="4" w:space="0" w:color="auto"/>
              <w:right w:val="single" w:sz="4" w:space="0" w:color="auto"/>
            </w:tcBorders>
            <w:shd w:val="clear" w:color="auto" w:fill="auto"/>
            <w:vAlign w:val="center"/>
          </w:tcPr>
          <w:p w14:paraId="2AF22D29"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 xml:space="preserve">109.9 </w:t>
            </w:r>
          </w:p>
        </w:tc>
        <w:tc>
          <w:tcPr>
            <w:tcW w:w="1416" w:type="dxa"/>
            <w:tcBorders>
              <w:top w:val="nil"/>
              <w:left w:val="nil"/>
              <w:bottom w:val="single" w:sz="4" w:space="0" w:color="auto"/>
              <w:right w:val="single" w:sz="4" w:space="0" w:color="auto"/>
            </w:tcBorders>
            <w:shd w:val="clear" w:color="auto" w:fill="auto"/>
            <w:vAlign w:val="center"/>
          </w:tcPr>
          <w:p w14:paraId="27BB41EF"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hAnsiTheme="minorHAnsi" w:cstheme="minorHAnsi"/>
                <w:sz w:val="12"/>
                <w:szCs w:val="12"/>
              </w:rPr>
              <w:t xml:space="preserve">114.0 </w:t>
            </w:r>
          </w:p>
        </w:tc>
        <w:tc>
          <w:tcPr>
            <w:tcW w:w="1416" w:type="dxa"/>
            <w:tcBorders>
              <w:top w:val="nil"/>
              <w:left w:val="single" w:sz="4" w:space="0" w:color="auto"/>
              <w:bottom w:val="single" w:sz="4" w:space="0" w:color="auto"/>
              <w:right w:val="single" w:sz="4" w:space="0" w:color="auto"/>
            </w:tcBorders>
            <w:shd w:val="clear" w:color="auto" w:fill="auto"/>
            <w:vAlign w:val="center"/>
          </w:tcPr>
          <w:p w14:paraId="55DD2A1A"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color w:val="000000"/>
                <w:sz w:val="12"/>
                <w:szCs w:val="12"/>
              </w:rPr>
              <w:t xml:space="preserve">230.4 </w:t>
            </w:r>
          </w:p>
        </w:tc>
        <w:tc>
          <w:tcPr>
            <w:tcW w:w="1416" w:type="dxa"/>
            <w:tcBorders>
              <w:top w:val="nil"/>
              <w:left w:val="single" w:sz="4" w:space="0" w:color="auto"/>
              <w:bottom w:val="single" w:sz="4" w:space="0" w:color="auto"/>
            </w:tcBorders>
            <w:shd w:val="clear" w:color="auto" w:fill="auto"/>
            <w:vAlign w:val="center"/>
          </w:tcPr>
          <w:p w14:paraId="20A51973"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sz w:val="12"/>
                <w:szCs w:val="12"/>
              </w:rPr>
              <w:t xml:space="preserve">217.6 </w:t>
            </w:r>
          </w:p>
        </w:tc>
      </w:tr>
      <w:tr w:rsidR="0044035E" w:rsidRPr="00CA4A72" w14:paraId="60B49E63" w14:textId="77777777" w:rsidTr="006A1A41">
        <w:trPr>
          <w:trHeight w:val="170"/>
        </w:trPr>
        <w:tc>
          <w:tcPr>
            <w:tcW w:w="3965" w:type="dxa"/>
            <w:tcBorders>
              <w:top w:val="nil"/>
              <w:bottom w:val="nil"/>
              <w:right w:val="single" w:sz="4" w:space="0" w:color="auto"/>
            </w:tcBorders>
            <w:shd w:val="clear" w:color="auto" w:fill="auto"/>
            <w:vAlign w:val="center"/>
            <w:hideMark/>
          </w:tcPr>
          <w:p w14:paraId="177F69FF" w14:textId="77777777" w:rsidR="0044035E" w:rsidRPr="00CA4A72" w:rsidRDefault="0044035E" w:rsidP="006A1A41">
            <w:pPr>
              <w:keepNext/>
              <w:rPr>
                <w:rFonts w:asciiTheme="minorHAnsi" w:eastAsia="Times New Roman" w:hAnsiTheme="minorHAnsi" w:cstheme="minorHAnsi"/>
                <w:b/>
                <w:bCs/>
                <w:sz w:val="12"/>
                <w:szCs w:val="12"/>
                <w:lang w:eastAsia="en-GB"/>
              </w:rPr>
            </w:pPr>
            <w:r w:rsidRPr="00CA4A72">
              <w:rPr>
                <w:rFonts w:asciiTheme="minorHAnsi" w:hAnsiTheme="minorHAnsi" w:cstheme="minorHAnsi"/>
                <w:b/>
                <w:bCs/>
                <w:sz w:val="12"/>
                <w:szCs w:val="12"/>
              </w:rPr>
              <w:t>Total Revenue</w:t>
            </w:r>
          </w:p>
        </w:tc>
        <w:tc>
          <w:tcPr>
            <w:tcW w:w="1416" w:type="dxa"/>
            <w:tcBorders>
              <w:top w:val="single" w:sz="4" w:space="0" w:color="auto"/>
              <w:left w:val="single" w:sz="4" w:space="0" w:color="auto"/>
              <w:bottom w:val="nil"/>
              <w:right w:val="single" w:sz="4" w:space="0" w:color="auto"/>
            </w:tcBorders>
            <w:shd w:val="clear" w:color="auto" w:fill="auto"/>
            <w:vAlign w:val="center"/>
          </w:tcPr>
          <w:p w14:paraId="0E121E8D" w14:textId="77777777" w:rsidR="0044035E" w:rsidRPr="00A455FD" w:rsidRDefault="0044035E" w:rsidP="006A1A41">
            <w:pPr>
              <w:spacing w:line="276" w:lineRule="auto"/>
              <w:ind w:firstLineChars="100" w:firstLine="120"/>
              <w:jc w:val="right"/>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 xml:space="preserve">€ 1,068.7 </w:t>
            </w:r>
          </w:p>
        </w:tc>
        <w:tc>
          <w:tcPr>
            <w:tcW w:w="1416" w:type="dxa"/>
            <w:tcBorders>
              <w:top w:val="single" w:sz="4" w:space="0" w:color="auto"/>
              <w:left w:val="nil"/>
              <w:bottom w:val="nil"/>
              <w:right w:val="single" w:sz="4" w:space="0" w:color="auto"/>
            </w:tcBorders>
            <w:shd w:val="clear" w:color="auto" w:fill="auto"/>
            <w:vAlign w:val="center"/>
          </w:tcPr>
          <w:p w14:paraId="682AC290" w14:textId="77777777" w:rsidR="0044035E" w:rsidRPr="00A455FD" w:rsidRDefault="0044035E" w:rsidP="006A1A41">
            <w:pPr>
              <w:spacing w:line="276" w:lineRule="auto"/>
              <w:ind w:firstLineChars="100" w:firstLine="120"/>
              <w:jc w:val="right"/>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sz w:val="12"/>
                <w:szCs w:val="12"/>
              </w:rPr>
              <w:t xml:space="preserve">€ 961.4 </w:t>
            </w:r>
          </w:p>
        </w:tc>
        <w:tc>
          <w:tcPr>
            <w:tcW w:w="1416" w:type="dxa"/>
            <w:tcBorders>
              <w:top w:val="single" w:sz="4" w:space="0" w:color="auto"/>
              <w:left w:val="single" w:sz="4" w:space="0" w:color="auto"/>
              <w:right w:val="single" w:sz="4" w:space="0" w:color="auto"/>
            </w:tcBorders>
            <w:shd w:val="clear" w:color="auto" w:fill="auto"/>
            <w:vAlign w:val="center"/>
          </w:tcPr>
          <w:p w14:paraId="4B77091F" w14:textId="77777777" w:rsidR="0044035E" w:rsidRPr="00A455FD" w:rsidRDefault="0044035E" w:rsidP="006A1A41">
            <w:pPr>
              <w:spacing w:line="276" w:lineRule="auto"/>
              <w:ind w:firstLineChars="100" w:firstLine="120"/>
              <w:jc w:val="right"/>
              <w:rPr>
                <w:rFonts w:asciiTheme="minorHAnsi" w:hAnsiTheme="minorHAnsi" w:cstheme="minorHAnsi"/>
                <w:b/>
                <w:bCs/>
                <w:sz w:val="12"/>
                <w:szCs w:val="12"/>
              </w:rPr>
            </w:pPr>
            <w:r w:rsidRPr="00A455FD">
              <w:rPr>
                <w:rFonts w:asciiTheme="minorHAnsi" w:hAnsiTheme="minorHAnsi" w:cstheme="minorHAnsi"/>
                <w:b/>
                <w:bCs/>
                <w:color w:val="000000"/>
                <w:sz w:val="12"/>
                <w:szCs w:val="12"/>
              </w:rPr>
              <w:t>€ 2,203.3</w:t>
            </w:r>
          </w:p>
        </w:tc>
        <w:tc>
          <w:tcPr>
            <w:tcW w:w="1416" w:type="dxa"/>
            <w:tcBorders>
              <w:top w:val="single" w:sz="4" w:space="0" w:color="auto"/>
              <w:left w:val="single" w:sz="4" w:space="0" w:color="auto"/>
            </w:tcBorders>
            <w:shd w:val="clear" w:color="auto" w:fill="auto"/>
            <w:vAlign w:val="center"/>
          </w:tcPr>
          <w:p w14:paraId="30A5B8F0" w14:textId="77777777" w:rsidR="0044035E" w:rsidRPr="00A455FD" w:rsidRDefault="0044035E" w:rsidP="006A1A41">
            <w:pPr>
              <w:spacing w:line="276" w:lineRule="auto"/>
              <w:ind w:firstLineChars="100" w:firstLine="120"/>
              <w:jc w:val="right"/>
              <w:rPr>
                <w:rFonts w:asciiTheme="minorHAnsi" w:hAnsiTheme="minorHAnsi" w:cstheme="minorHAnsi"/>
                <w:b/>
                <w:bCs/>
                <w:sz w:val="12"/>
                <w:szCs w:val="12"/>
              </w:rPr>
            </w:pPr>
            <w:r w:rsidRPr="00A455FD">
              <w:rPr>
                <w:rFonts w:asciiTheme="minorHAnsi" w:hAnsiTheme="minorHAnsi" w:cstheme="minorHAnsi"/>
                <w:b/>
                <w:sz w:val="12"/>
                <w:szCs w:val="12"/>
              </w:rPr>
              <w:t>€ 1,920.3</w:t>
            </w:r>
          </w:p>
        </w:tc>
      </w:tr>
      <w:tr w:rsidR="0044035E" w:rsidRPr="00CA4A72" w14:paraId="05EDA400" w14:textId="77777777" w:rsidTr="006A1A41">
        <w:trPr>
          <w:trHeight w:val="170"/>
        </w:trPr>
        <w:tc>
          <w:tcPr>
            <w:tcW w:w="3965" w:type="dxa"/>
            <w:tcBorders>
              <w:top w:val="nil"/>
              <w:bottom w:val="nil"/>
              <w:right w:val="single" w:sz="4" w:space="0" w:color="auto"/>
            </w:tcBorders>
            <w:shd w:val="clear" w:color="auto" w:fill="auto"/>
            <w:vAlign w:val="center"/>
            <w:hideMark/>
          </w:tcPr>
          <w:p w14:paraId="0C2D1595" w14:textId="77777777" w:rsidR="0044035E" w:rsidRPr="00CA4A72" w:rsidRDefault="0044035E" w:rsidP="006A1A41">
            <w:pPr>
              <w:keepNext/>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 xml:space="preserve">Cost of software revenue </w:t>
            </w:r>
            <w:r w:rsidRPr="00CA4A72">
              <w:rPr>
                <w:rFonts w:asciiTheme="minorHAnsi" w:hAnsiTheme="minorHAnsi" w:cstheme="minorHAnsi"/>
                <w:sz w:val="12"/>
                <w:szCs w:val="12"/>
                <w:vertAlign w:val="superscript"/>
              </w:rPr>
              <w:t>(1)</w:t>
            </w:r>
          </w:p>
        </w:tc>
        <w:tc>
          <w:tcPr>
            <w:tcW w:w="1416" w:type="dxa"/>
            <w:tcBorders>
              <w:top w:val="nil"/>
              <w:left w:val="single" w:sz="4" w:space="0" w:color="auto"/>
              <w:bottom w:val="nil"/>
              <w:right w:val="single" w:sz="4" w:space="0" w:color="auto"/>
            </w:tcBorders>
            <w:shd w:val="clear" w:color="auto" w:fill="auto"/>
            <w:vAlign w:val="center"/>
          </w:tcPr>
          <w:p w14:paraId="38A1B1E6"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(76.3)</w:t>
            </w:r>
          </w:p>
        </w:tc>
        <w:tc>
          <w:tcPr>
            <w:tcW w:w="1416" w:type="dxa"/>
            <w:tcBorders>
              <w:top w:val="nil"/>
              <w:left w:val="nil"/>
              <w:bottom w:val="nil"/>
              <w:right w:val="single" w:sz="4" w:space="0" w:color="auto"/>
            </w:tcBorders>
            <w:shd w:val="clear" w:color="auto" w:fill="auto"/>
            <w:vAlign w:val="center"/>
          </w:tcPr>
          <w:p w14:paraId="2E3283F2"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hAnsiTheme="minorHAnsi" w:cstheme="minorHAnsi"/>
                <w:sz w:val="12"/>
                <w:szCs w:val="12"/>
              </w:rPr>
              <w:t>(44.6)</w:t>
            </w:r>
          </w:p>
        </w:tc>
        <w:tc>
          <w:tcPr>
            <w:tcW w:w="1416" w:type="dxa"/>
            <w:tcBorders>
              <w:left w:val="single" w:sz="4" w:space="0" w:color="auto"/>
              <w:right w:val="single" w:sz="4" w:space="0" w:color="auto"/>
            </w:tcBorders>
            <w:shd w:val="clear" w:color="auto" w:fill="auto"/>
            <w:vAlign w:val="center"/>
          </w:tcPr>
          <w:p w14:paraId="62FCA803"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color w:val="000000"/>
                <w:sz w:val="12"/>
                <w:szCs w:val="12"/>
              </w:rPr>
              <w:t>(152.8)</w:t>
            </w:r>
          </w:p>
        </w:tc>
        <w:tc>
          <w:tcPr>
            <w:tcW w:w="1416" w:type="dxa"/>
            <w:tcBorders>
              <w:left w:val="single" w:sz="4" w:space="0" w:color="auto"/>
            </w:tcBorders>
            <w:shd w:val="clear" w:color="auto" w:fill="auto"/>
            <w:vAlign w:val="center"/>
          </w:tcPr>
          <w:p w14:paraId="11C677C6"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sz w:val="12"/>
                <w:szCs w:val="12"/>
              </w:rPr>
              <w:t>(89.8)</w:t>
            </w:r>
          </w:p>
        </w:tc>
      </w:tr>
      <w:tr w:rsidR="0044035E" w:rsidRPr="00CA4A72" w14:paraId="6FE3B02B" w14:textId="77777777" w:rsidTr="006A1A41">
        <w:trPr>
          <w:trHeight w:val="170"/>
        </w:trPr>
        <w:tc>
          <w:tcPr>
            <w:tcW w:w="3965" w:type="dxa"/>
            <w:tcBorders>
              <w:top w:val="nil"/>
              <w:bottom w:val="nil"/>
              <w:right w:val="single" w:sz="4" w:space="0" w:color="auto"/>
            </w:tcBorders>
            <w:shd w:val="clear" w:color="auto" w:fill="auto"/>
            <w:vAlign w:val="center"/>
            <w:hideMark/>
          </w:tcPr>
          <w:p w14:paraId="08B948E7" w14:textId="77777777" w:rsidR="0044035E" w:rsidRPr="00CA4A72" w:rsidRDefault="0044035E" w:rsidP="006A1A41">
            <w:pPr>
              <w:keepNext/>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 xml:space="preserve">Cost of services </w:t>
            </w:r>
          </w:p>
        </w:tc>
        <w:tc>
          <w:tcPr>
            <w:tcW w:w="1416" w:type="dxa"/>
            <w:tcBorders>
              <w:top w:val="nil"/>
              <w:left w:val="single" w:sz="4" w:space="0" w:color="auto"/>
              <w:bottom w:val="nil"/>
              <w:right w:val="single" w:sz="4" w:space="0" w:color="auto"/>
            </w:tcBorders>
            <w:shd w:val="clear" w:color="auto" w:fill="auto"/>
            <w:vAlign w:val="center"/>
          </w:tcPr>
          <w:p w14:paraId="472E8289"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(108.0)</w:t>
            </w:r>
          </w:p>
        </w:tc>
        <w:tc>
          <w:tcPr>
            <w:tcW w:w="1416" w:type="dxa"/>
            <w:tcBorders>
              <w:top w:val="nil"/>
              <w:left w:val="nil"/>
              <w:bottom w:val="nil"/>
              <w:right w:val="single" w:sz="4" w:space="0" w:color="auto"/>
            </w:tcBorders>
            <w:shd w:val="clear" w:color="auto" w:fill="auto"/>
            <w:vAlign w:val="center"/>
          </w:tcPr>
          <w:p w14:paraId="5E529995"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hAnsiTheme="minorHAnsi" w:cstheme="minorHAnsi"/>
                <w:sz w:val="12"/>
                <w:szCs w:val="12"/>
              </w:rPr>
              <w:t>(105.7)</w:t>
            </w:r>
          </w:p>
        </w:tc>
        <w:tc>
          <w:tcPr>
            <w:tcW w:w="1416" w:type="dxa"/>
            <w:tcBorders>
              <w:left w:val="single" w:sz="4" w:space="0" w:color="auto"/>
              <w:right w:val="single" w:sz="4" w:space="0" w:color="auto"/>
            </w:tcBorders>
            <w:shd w:val="clear" w:color="auto" w:fill="auto"/>
            <w:vAlign w:val="center"/>
          </w:tcPr>
          <w:p w14:paraId="21DAE4D6"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color w:val="000000"/>
                <w:sz w:val="12"/>
                <w:szCs w:val="12"/>
              </w:rPr>
              <w:t>(227.9)</w:t>
            </w:r>
          </w:p>
        </w:tc>
        <w:tc>
          <w:tcPr>
            <w:tcW w:w="1416" w:type="dxa"/>
            <w:tcBorders>
              <w:left w:val="single" w:sz="4" w:space="0" w:color="auto"/>
            </w:tcBorders>
            <w:shd w:val="clear" w:color="auto" w:fill="auto"/>
            <w:vAlign w:val="center"/>
          </w:tcPr>
          <w:p w14:paraId="6589BB4F"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sz w:val="12"/>
                <w:szCs w:val="12"/>
              </w:rPr>
              <w:t>(206.3)</w:t>
            </w:r>
          </w:p>
        </w:tc>
      </w:tr>
      <w:tr w:rsidR="0044035E" w:rsidRPr="00CA4A72" w14:paraId="215E5F04" w14:textId="77777777" w:rsidTr="006A1A41">
        <w:trPr>
          <w:trHeight w:val="170"/>
        </w:trPr>
        <w:tc>
          <w:tcPr>
            <w:tcW w:w="3965" w:type="dxa"/>
            <w:tcBorders>
              <w:top w:val="nil"/>
              <w:bottom w:val="nil"/>
              <w:right w:val="single" w:sz="4" w:space="0" w:color="auto"/>
            </w:tcBorders>
            <w:shd w:val="clear" w:color="auto" w:fill="auto"/>
            <w:vAlign w:val="center"/>
            <w:hideMark/>
          </w:tcPr>
          <w:p w14:paraId="0CEA6619" w14:textId="77777777" w:rsidR="0044035E" w:rsidRPr="00CA4A72" w:rsidRDefault="0044035E" w:rsidP="006A1A41">
            <w:pPr>
              <w:keepNext/>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Research and development</w:t>
            </w:r>
          </w:p>
        </w:tc>
        <w:tc>
          <w:tcPr>
            <w:tcW w:w="1416" w:type="dxa"/>
            <w:tcBorders>
              <w:top w:val="nil"/>
              <w:left w:val="single" w:sz="4" w:space="0" w:color="auto"/>
              <w:bottom w:val="nil"/>
              <w:right w:val="single" w:sz="4" w:space="0" w:color="auto"/>
            </w:tcBorders>
            <w:shd w:val="clear" w:color="auto" w:fill="auto"/>
            <w:vAlign w:val="center"/>
          </w:tcPr>
          <w:p w14:paraId="175B85F5"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(243.4)</w:t>
            </w:r>
          </w:p>
        </w:tc>
        <w:tc>
          <w:tcPr>
            <w:tcW w:w="1416" w:type="dxa"/>
            <w:tcBorders>
              <w:top w:val="nil"/>
              <w:left w:val="nil"/>
              <w:bottom w:val="nil"/>
              <w:right w:val="single" w:sz="4" w:space="0" w:color="auto"/>
            </w:tcBorders>
            <w:shd w:val="clear" w:color="auto" w:fill="auto"/>
            <w:vAlign w:val="center"/>
          </w:tcPr>
          <w:p w14:paraId="2D2EB650"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hAnsiTheme="minorHAnsi" w:cstheme="minorHAnsi"/>
                <w:sz w:val="12"/>
                <w:szCs w:val="12"/>
              </w:rPr>
              <w:t>(176.9)</w:t>
            </w:r>
          </w:p>
        </w:tc>
        <w:tc>
          <w:tcPr>
            <w:tcW w:w="1416" w:type="dxa"/>
            <w:tcBorders>
              <w:left w:val="single" w:sz="4" w:space="0" w:color="auto"/>
              <w:right w:val="single" w:sz="4" w:space="0" w:color="auto"/>
            </w:tcBorders>
            <w:shd w:val="clear" w:color="auto" w:fill="auto"/>
            <w:vAlign w:val="center"/>
          </w:tcPr>
          <w:p w14:paraId="7414D847"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color w:val="000000"/>
                <w:sz w:val="12"/>
                <w:szCs w:val="12"/>
              </w:rPr>
              <w:t>(473.6)</w:t>
            </w:r>
          </w:p>
        </w:tc>
        <w:tc>
          <w:tcPr>
            <w:tcW w:w="1416" w:type="dxa"/>
            <w:tcBorders>
              <w:left w:val="single" w:sz="4" w:space="0" w:color="auto"/>
            </w:tcBorders>
            <w:shd w:val="clear" w:color="auto" w:fill="auto"/>
            <w:vAlign w:val="center"/>
          </w:tcPr>
          <w:p w14:paraId="5EBA04FE"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sz w:val="12"/>
                <w:szCs w:val="12"/>
              </w:rPr>
              <w:t>(357.2)</w:t>
            </w:r>
          </w:p>
        </w:tc>
      </w:tr>
      <w:tr w:rsidR="0044035E" w:rsidRPr="00CA4A72" w14:paraId="608BCAEE" w14:textId="77777777" w:rsidTr="006A1A41">
        <w:trPr>
          <w:trHeight w:val="170"/>
        </w:trPr>
        <w:tc>
          <w:tcPr>
            <w:tcW w:w="3965" w:type="dxa"/>
            <w:tcBorders>
              <w:top w:val="nil"/>
              <w:bottom w:val="nil"/>
              <w:right w:val="single" w:sz="4" w:space="0" w:color="auto"/>
            </w:tcBorders>
            <w:shd w:val="clear" w:color="auto" w:fill="auto"/>
            <w:vAlign w:val="center"/>
            <w:hideMark/>
          </w:tcPr>
          <w:p w14:paraId="3C6FCEA8" w14:textId="77777777" w:rsidR="0044035E" w:rsidRPr="00CA4A72" w:rsidRDefault="0044035E" w:rsidP="006A1A41">
            <w:pPr>
              <w:keepNext/>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Marketing and sales</w:t>
            </w:r>
          </w:p>
        </w:tc>
        <w:tc>
          <w:tcPr>
            <w:tcW w:w="1416" w:type="dxa"/>
            <w:tcBorders>
              <w:top w:val="nil"/>
              <w:left w:val="single" w:sz="4" w:space="0" w:color="auto"/>
              <w:bottom w:val="nil"/>
              <w:right w:val="single" w:sz="4" w:space="0" w:color="auto"/>
            </w:tcBorders>
            <w:shd w:val="clear" w:color="auto" w:fill="auto"/>
            <w:vAlign w:val="center"/>
          </w:tcPr>
          <w:p w14:paraId="2857D155"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(315.9)</w:t>
            </w:r>
          </w:p>
        </w:tc>
        <w:tc>
          <w:tcPr>
            <w:tcW w:w="1416" w:type="dxa"/>
            <w:tcBorders>
              <w:top w:val="nil"/>
              <w:left w:val="nil"/>
              <w:bottom w:val="nil"/>
              <w:right w:val="single" w:sz="4" w:space="0" w:color="auto"/>
            </w:tcBorders>
            <w:shd w:val="clear" w:color="auto" w:fill="auto"/>
            <w:vAlign w:val="center"/>
          </w:tcPr>
          <w:p w14:paraId="4C067C99"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hAnsiTheme="minorHAnsi" w:cstheme="minorHAnsi"/>
                <w:sz w:val="12"/>
                <w:szCs w:val="12"/>
              </w:rPr>
              <w:t>(300.5)</w:t>
            </w:r>
          </w:p>
        </w:tc>
        <w:tc>
          <w:tcPr>
            <w:tcW w:w="1416" w:type="dxa"/>
            <w:tcBorders>
              <w:left w:val="single" w:sz="4" w:space="0" w:color="auto"/>
              <w:right w:val="single" w:sz="4" w:space="0" w:color="auto"/>
            </w:tcBorders>
            <w:shd w:val="clear" w:color="auto" w:fill="auto"/>
            <w:vAlign w:val="center"/>
          </w:tcPr>
          <w:p w14:paraId="2FE6E7CE"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color w:val="000000"/>
                <w:sz w:val="12"/>
                <w:szCs w:val="12"/>
              </w:rPr>
              <w:t>(647.2)</w:t>
            </w:r>
          </w:p>
        </w:tc>
        <w:tc>
          <w:tcPr>
            <w:tcW w:w="1416" w:type="dxa"/>
            <w:tcBorders>
              <w:left w:val="single" w:sz="4" w:space="0" w:color="auto"/>
            </w:tcBorders>
            <w:shd w:val="clear" w:color="auto" w:fill="auto"/>
            <w:vAlign w:val="center"/>
          </w:tcPr>
          <w:p w14:paraId="485784BB"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sz w:val="12"/>
                <w:szCs w:val="12"/>
              </w:rPr>
              <w:t>(591.7)</w:t>
            </w:r>
          </w:p>
        </w:tc>
      </w:tr>
      <w:tr w:rsidR="0044035E" w:rsidRPr="00CA4A72" w14:paraId="4B25548F" w14:textId="77777777" w:rsidTr="006A1A41">
        <w:trPr>
          <w:trHeight w:val="170"/>
        </w:trPr>
        <w:tc>
          <w:tcPr>
            <w:tcW w:w="3965" w:type="dxa"/>
            <w:tcBorders>
              <w:top w:val="nil"/>
              <w:bottom w:val="nil"/>
              <w:right w:val="single" w:sz="4" w:space="0" w:color="auto"/>
            </w:tcBorders>
            <w:shd w:val="clear" w:color="auto" w:fill="auto"/>
            <w:vAlign w:val="center"/>
            <w:hideMark/>
          </w:tcPr>
          <w:p w14:paraId="6DF4F3DC" w14:textId="77777777" w:rsidR="0044035E" w:rsidRPr="00CA4A72" w:rsidRDefault="0044035E" w:rsidP="006A1A41">
            <w:pPr>
              <w:keepNext/>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General and administrative</w:t>
            </w:r>
          </w:p>
        </w:tc>
        <w:tc>
          <w:tcPr>
            <w:tcW w:w="1416" w:type="dxa"/>
            <w:tcBorders>
              <w:top w:val="nil"/>
              <w:left w:val="single" w:sz="4" w:space="0" w:color="auto"/>
              <w:bottom w:val="nil"/>
              <w:right w:val="single" w:sz="4" w:space="0" w:color="auto"/>
            </w:tcBorders>
            <w:shd w:val="clear" w:color="auto" w:fill="auto"/>
            <w:vAlign w:val="center"/>
          </w:tcPr>
          <w:p w14:paraId="693C323C"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(101.0)</w:t>
            </w:r>
          </w:p>
        </w:tc>
        <w:tc>
          <w:tcPr>
            <w:tcW w:w="1416" w:type="dxa"/>
            <w:tcBorders>
              <w:top w:val="nil"/>
              <w:left w:val="nil"/>
              <w:bottom w:val="nil"/>
              <w:right w:val="single" w:sz="4" w:space="0" w:color="auto"/>
            </w:tcBorders>
            <w:shd w:val="clear" w:color="auto" w:fill="auto"/>
            <w:vAlign w:val="center"/>
          </w:tcPr>
          <w:p w14:paraId="4560169E"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hAnsiTheme="minorHAnsi" w:cstheme="minorHAnsi"/>
                <w:sz w:val="12"/>
                <w:szCs w:val="12"/>
              </w:rPr>
              <w:t>(75.7)</w:t>
            </w:r>
          </w:p>
        </w:tc>
        <w:tc>
          <w:tcPr>
            <w:tcW w:w="1416" w:type="dxa"/>
            <w:tcBorders>
              <w:left w:val="single" w:sz="4" w:space="0" w:color="auto"/>
              <w:right w:val="single" w:sz="4" w:space="0" w:color="auto"/>
            </w:tcBorders>
            <w:shd w:val="clear" w:color="auto" w:fill="auto"/>
            <w:vAlign w:val="center"/>
          </w:tcPr>
          <w:p w14:paraId="125077AE"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color w:val="000000"/>
                <w:sz w:val="12"/>
                <w:szCs w:val="12"/>
              </w:rPr>
              <w:t>(198.4)</w:t>
            </w:r>
          </w:p>
        </w:tc>
        <w:tc>
          <w:tcPr>
            <w:tcW w:w="1416" w:type="dxa"/>
            <w:tcBorders>
              <w:left w:val="single" w:sz="4" w:space="0" w:color="auto"/>
            </w:tcBorders>
            <w:shd w:val="clear" w:color="auto" w:fill="auto"/>
            <w:vAlign w:val="center"/>
          </w:tcPr>
          <w:p w14:paraId="340BFE3E"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sz w:val="12"/>
                <w:szCs w:val="12"/>
              </w:rPr>
              <w:t>(152.3)</w:t>
            </w:r>
          </w:p>
        </w:tc>
      </w:tr>
      <w:tr w:rsidR="0044035E" w:rsidRPr="00CA4A72" w14:paraId="65392EC9" w14:textId="77777777" w:rsidTr="006A1A41">
        <w:trPr>
          <w:trHeight w:val="170"/>
        </w:trPr>
        <w:tc>
          <w:tcPr>
            <w:tcW w:w="3965" w:type="dxa"/>
            <w:tcBorders>
              <w:top w:val="nil"/>
              <w:bottom w:val="nil"/>
              <w:right w:val="single" w:sz="4" w:space="0" w:color="auto"/>
            </w:tcBorders>
            <w:shd w:val="clear" w:color="auto" w:fill="auto"/>
            <w:vAlign w:val="center"/>
            <w:hideMark/>
          </w:tcPr>
          <w:p w14:paraId="7229C917" w14:textId="77777777" w:rsidR="0044035E" w:rsidRPr="00CA4A72" w:rsidRDefault="0044035E" w:rsidP="006A1A41">
            <w:pPr>
              <w:keepNext/>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Amortization of acquired intangible assets and of tangible assets revaluation</w:t>
            </w:r>
          </w:p>
        </w:tc>
        <w:tc>
          <w:tcPr>
            <w:tcW w:w="1416" w:type="dxa"/>
            <w:tcBorders>
              <w:top w:val="nil"/>
              <w:left w:val="single" w:sz="4" w:space="0" w:color="auto"/>
              <w:bottom w:val="nil"/>
              <w:right w:val="single" w:sz="4" w:space="0" w:color="auto"/>
            </w:tcBorders>
            <w:shd w:val="clear" w:color="auto" w:fill="auto"/>
            <w:vAlign w:val="center"/>
          </w:tcPr>
          <w:p w14:paraId="48145AB6"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(100.5)</w:t>
            </w:r>
          </w:p>
        </w:tc>
        <w:tc>
          <w:tcPr>
            <w:tcW w:w="1416" w:type="dxa"/>
            <w:tcBorders>
              <w:top w:val="nil"/>
              <w:left w:val="nil"/>
              <w:bottom w:val="nil"/>
              <w:right w:val="single" w:sz="4" w:space="0" w:color="auto"/>
            </w:tcBorders>
            <w:shd w:val="clear" w:color="auto" w:fill="auto"/>
            <w:vAlign w:val="center"/>
          </w:tcPr>
          <w:p w14:paraId="4FE8CC90"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hAnsiTheme="minorHAnsi" w:cstheme="minorHAnsi"/>
                <w:sz w:val="12"/>
                <w:szCs w:val="12"/>
              </w:rPr>
              <w:t>(50.9)</w:t>
            </w:r>
          </w:p>
        </w:tc>
        <w:tc>
          <w:tcPr>
            <w:tcW w:w="1416" w:type="dxa"/>
            <w:tcBorders>
              <w:left w:val="single" w:sz="4" w:space="0" w:color="auto"/>
              <w:right w:val="single" w:sz="4" w:space="0" w:color="auto"/>
            </w:tcBorders>
            <w:shd w:val="clear" w:color="auto" w:fill="auto"/>
            <w:vAlign w:val="center"/>
          </w:tcPr>
          <w:p w14:paraId="30FC7EFD"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color w:val="000000"/>
                <w:sz w:val="12"/>
                <w:szCs w:val="12"/>
              </w:rPr>
              <w:t>(209.9)</w:t>
            </w:r>
          </w:p>
        </w:tc>
        <w:tc>
          <w:tcPr>
            <w:tcW w:w="1416" w:type="dxa"/>
            <w:tcBorders>
              <w:left w:val="single" w:sz="4" w:space="0" w:color="auto"/>
            </w:tcBorders>
            <w:shd w:val="clear" w:color="auto" w:fill="auto"/>
            <w:vAlign w:val="center"/>
          </w:tcPr>
          <w:p w14:paraId="61A07F1C"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sz w:val="12"/>
                <w:szCs w:val="12"/>
              </w:rPr>
              <w:t>(101.0)</w:t>
            </w:r>
          </w:p>
        </w:tc>
      </w:tr>
      <w:tr w:rsidR="0044035E" w:rsidRPr="00CA4A72" w14:paraId="63EBCF13" w14:textId="77777777" w:rsidTr="006A1A41">
        <w:trPr>
          <w:trHeight w:val="170"/>
        </w:trPr>
        <w:tc>
          <w:tcPr>
            <w:tcW w:w="3965" w:type="dxa"/>
            <w:tcBorders>
              <w:top w:val="nil"/>
              <w:bottom w:val="nil"/>
              <w:right w:val="single" w:sz="4" w:space="0" w:color="auto"/>
            </w:tcBorders>
            <w:shd w:val="clear" w:color="auto" w:fill="auto"/>
            <w:vAlign w:val="center"/>
            <w:hideMark/>
          </w:tcPr>
          <w:p w14:paraId="5DC4B826" w14:textId="77777777" w:rsidR="0044035E" w:rsidRPr="00CA4A72" w:rsidRDefault="0044035E" w:rsidP="006A1A41">
            <w:pPr>
              <w:keepNext/>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Other operating income and expense, net</w:t>
            </w:r>
          </w:p>
        </w:tc>
        <w:tc>
          <w:tcPr>
            <w:tcW w:w="1416" w:type="dxa"/>
            <w:tcBorders>
              <w:top w:val="nil"/>
              <w:left w:val="single" w:sz="4" w:space="0" w:color="auto"/>
              <w:bottom w:val="single" w:sz="4" w:space="0" w:color="auto"/>
              <w:right w:val="single" w:sz="4" w:space="0" w:color="auto"/>
            </w:tcBorders>
            <w:shd w:val="clear" w:color="auto" w:fill="auto"/>
            <w:vAlign w:val="center"/>
          </w:tcPr>
          <w:p w14:paraId="5ED96F8E"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(12.9)</w:t>
            </w:r>
          </w:p>
        </w:tc>
        <w:tc>
          <w:tcPr>
            <w:tcW w:w="1416" w:type="dxa"/>
            <w:tcBorders>
              <w:top w:val="nil"/>
              <w:left w:val="nil"/>
              <w:bottom w:val="single" w:sz="4" w:space="0" w:color="auto"/>
              <w:right w:val="single" w:sz="4" w:space="0" w:color="auto"/>
            </w:tcBorders>
            <w:shd w:val="clear" w:color="auto" w:fill="auto"/>
            <w:vAlign w:val="center"/>
          </w:tcPr>
          <w:p w14:paraId="56998E0D"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hAnsiTheme="minorHAnsi" w:cstheme="minorHAnsi"/>
                <w:sz w:val="12"/>
                <w:szCs w:val="12"/>
              </w:rPr>
              <w:t>(24.9)</w:t>
            </w:r>
          </w:p>
        </w:tc>
        <w:tc>
          <w:tcPr>
            <w:tcW w:w="1416" w:type="dxa"/>
            <w:tcBorders>
              <w:left w:val="single" w:sz="4" w:space="0" w:color="auto"/>
              <w:bottom w:val="single" w:sz="4" w:space="0" w:color="auto"/>
              <w:right w:val="single" w:sz="4" w:space="0" w:color="auto"/>
            </w:tcBorders>
            <w:shd w:val="clear" w:color="auto" w:fill="auto"/>
            <w:vAlign w:val="center"/>
          </w:tcPr>
          <w:p w14:paraId="5BEB5F0A"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color w:val="000000"/>
                <w:sz w:val="12"/>
                <w:szCs w:val="12"/>
              </w:rPr>
              <w:t>(31.8)</w:t>
            </w:r>
          </w:p>
        </w:tc>
        <w:tc>
          <w:tcPr>
            <w:tcW w:w="1416" w:type="dxa"/>
            <w:tcBorders>
              <w:left w:val="single" w:sz="4" w:space="0" w:color="auto"/>
              <w:bottom w:val="single" w:sz="4" w:space="0" w:color="auto"/>
            </w:tcBorders>
            <w:shd w:val="clear" w:color="auto" w:fill="auto"/>
            <w:vAlign w:val="center"/>
          </w:tcPr>
          <w:p w14:paraId="6FA9E60F"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sz w:val="12"/>
                <w:szCs w:val="12"/>
              </w:rPr>
              <w:t>(24.0)</w:t>
            </w:r>
          </w:p>
        </w:tc>
      </w:tr>
      <w:tr w:rsidR="0044035E" w:rsidRPr="00CA4A72" w14:paraId="240B964E" w14:textId="77777777" w:rsidTr="006A1A41">
        <w:trPr>
          <w:trHeight w:val="170"/>
        </w:trPr>
        <w:tc>
          <w:tcPr>
            <w:tcW w:w="3965" w:type="dxa"/>
            <w:tcBorders>
              <w:top w:val="nil"/>
              <w:bottom w:val="nil"/>
              <w:right w:val="single" w:sz="4" w:space="0" w:color="auto"/>
            </w:tcBorders>
            <w:shd w:val="clear" w:color="auto" w:fill="auto"/>
            <w:vAlign w:val="center"/>
            <w:hideMark/>
          </w:tcPr>
          <w:p w14:paraId="6873EF08" w14:textId="77777777" w:rsidR="0044035E" w:rsidRPr="00CA4A72" w:rsidRDefault="0044035E" w:rsidP="006A1A41">
            <w:pPr>
              <w:keepNext/>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Total Operating Expenses</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2A5EBA9" w14:textId="77777777" w:rsidR="0044035E" w:rsidRPr="00A455FD" w:rsidRDefault="0044035E" w:rsidP="006A1A41">
            <w:pPr>
              <w:spacing w:line="276" w:lineRule="auto"/>
              <w:jc w:val="right"/>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(958.0)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24E7F7E"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hAnsiTheme="minorHAnsi" w:cstheme="minorHAnsi"/>
                <w:sz w:val="12"/>
                <w:szCs w:val="12"/>
              </w:rPr>
              <w:t>(779.3)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87E0174"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color w:val="000000"/>
                <w:sz w:val="12"/>
                <w:szCs w:val="12"/>
              </w:rPr>
              <w:t>(1,941.7)</w:t>
            </w:r>
          </w:p>
        </w:tc>
        <w:tc>
          <w:tcPr>
            <w:tcW w:w="1416" w:type="dxa"/>
            <w:tcBorders>
              <w:top w:val="single" w:sz="4" w:space="0" w:color="auto"/>
              <w:left w:val="single" w:sz="4" w:space="0" w:color="auto"/>
              <w:bottom w:val="single" w:sz="4" w:space="0" w:color="auto"/>
            </w:tcBorders>
            <w:shd w:val="clear" w:color="auto" w:fill="auto"/>
            <w:vAlign w:val="center"/>
          </w:tcPr>
          <w:p w14:paraId="250AA293"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sz w:val="12"/>
                <w:szCs w:val="12"/>
              </w:rPr>
              <w:t>(1,522.4)</w:t>
            </w:r>
          </w:p>
        </w:tc>
      </w:tr>
      <w:tr w:rsidR="0044035E" w:rsidRPr="00CA4A72" w14:paraId="615AA527" w14:textId="77777777" w:rsidTr="006A1A41">
        <w:trPr>
          <w:trHeight w:val="170"/>
        </w:trPr>
        <w:tc>
          <w:tcPr>
            <w:tcW w:w="3965" w:type="dxa"/>
            <w:tcBorders>
              <w:top w:val="nil"/>
              <w:bottom w:val="nil"/>
              <w:right w:val="single" w:sz="4" w:space="0" w:color="auto"/>
            </w:tcBorders>
            <w:shd w:val="clear" w:color="auto" w:fill="auto"/>
            <w:vAlign w:val="center"/>
            <w:hideMark/>
          </w:tcPr>
          <w:p w14:paraId="6B91EAF3" w14:textId="77777777" w:rsidR="0044035E" w:rsidRPr="00CA4A72" w:rsidRDefault="0044035E" w:rsidP="006A1A41">
            <w:pPr>
              <w:keepNext/>
              <w:rPr>
                <w:rFonts w:asciiTheme="minorHAnsi" w:eastAsia="Times New Roman" w:hAnsiTheme="minorHAnsi" w:cstheme="minorHAnsi"/>
                <w:b/>
                <w:bCs/>
                <w:sz w:val="12"/>
                <w:szCs w:val="12"/>
                <w:lang w:eastAsia="en-GB"/>
              </w:rPr>
            </w:pPr>
            <w:r w:rsidRPr="00CA4A72">
              <w:rPr>
                <w:rFonts w:asciiTheme="minorHAnsi" w:hAnsiTheme="minorHAnsi" w:cstheme="minorHAnsi"/>
                <w:b/>
                <w:bCs/>
                <w:sz w:val="12"/>
                <w:szCs w:val="12"/>
              </w:rPr>
              <w:t xml:space="preserve">Operating Income </w:t>
            </w:r>
          </w:p>
        </w:tc>
        <w:tc>
          <w:tcPr>
            <w:tcW w:w="1416" w:type="dxa"/>
            <w:tcBorders>
              <w:top w:val="single" w:sz="4" w:space="0" w:color="auto"/>
              <w:left w:val="single" w:sz="4" w:space="0" w:color="auto"/>
              <w:bottom w:val="nil"/>
              <w:right w:val="single" w:sz="4" w:space="0" w:color="auto"/>
            </w:tcBorders>
            <w:shd w:val="clear" w:color="auto" w:fill="auto"/>
            <w:vAlign w:val="center"/>
          </w:tcPr>
          <w:p w14:paraId="57EF6A75" w14:textId="77777777" w:rsidR="0044035E" w:rsidRPr="00A455FD" w:rsidRDefault="0044035E" w:rsidP="006A1A41">
            <w:pPr>
              <w:spacing w:line="276" w:lineRule="auto"/>
              <w:ind w:firstLineChars="100" w:firstLine="120"/>
              <w:jc w:val="right"/>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 xml:space="preserve">€ 110.7 </w:t>
            </w:r>
          </w:p>
        </w:tc>
        <w:tc>
          <w:tcPr>
            <w:tcW w:w="1416" w:type="dxa"/>
            <w:tcBorders>
              <w:top w:val="single" w:sz="4" w:space="0" w:color="auto"/>
              <w:left w:val="nil"/>
              <w:bottom w:val="nil"/>
              <w:right w:val="single" w:sz="4" w:space="0" w:color="auto"/>
            </w:tcBorders>
            <w:shd w:val="clear" w:color="auto" w:fill="auto"/>
            <w:vAlign w:val="center"/>
          </w:tcPr>
          <w:p w14:paraId="16D3DFDA" w14:textId="77777777" w:rsidR="0044035E" w:rsidRPr="00A455FD" w:rsidRDefault="0044035E" w:rsidP="006A1A41">
            <w:pPr>
              <w:spacing w:line="276" w:lineRule="auto"/>
              <w:ind w:firstLineChars="100" w:firstLine="120"/>
              <w:jc w:val="right"/>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sz w:val="12"/>
                <w:szCs w:val="12"/>
              </w:rPr>
              <w:t xml:space="preserve">€ 182.2 </w:t>
            </w:r>
          </w:p>
        </w:tc>
        <w:tc>
          <w:tcPr>
            <w:tcW w:w="1416" w:type="dxa"/>
            <w:tcBorders>
              <w:top w:val="single" w:sz="4" w:space="0" w:color="auto"/>
              <w:left w:val="single" w:sz="4" w:space="0" w:color="auto"/>
              <w:bottom w:val="nil"/>
              <w:right w:val="single" w:sz="4" w:space="0" w:color="auto"/>
            </w:tcBorders>
            <w:shd w:val="clear" w:color="auto" w:fill="auto"/>
            <w:vAlign w:val="center"/>
          </w:tcPr>
          <w:p w14:paraId="593F5D66" w14:textId="77777777" w:rsidR="0044035E" w:rsidRPr="00A455FD" w:rsidRDefault="0044035E" w:rsidP="006A1A41">
            <w:pPr>
              <w:spacing w:line="276" w:lineRule="auto"/>
              <w:ind w:firstLineChars="100" w:firstLine="120"/>
              <w:jc w:val="right"/>
              <w:rPr>
                <w:rFonts w:asciiTheme="minorHAnsi" w:hAnsiTheme="minorHAnsi" w:cstheme="minorHAnsi"/>
                <w:b/>
                <w:bCs/>
                <w:sz w:val="12"/>
                <w:szCs w:val="12"/>
              </w:rPr>
            </w:pPr>
            <w:r w:rsidRPr="00A455FD">
              <w:rPr>
                <w:rFonts w:asciiTheme="minorHAnsi" w:hAnsiTheme="minorHAnsi" w:cstheme="minorHAnsi"/>
                <w:b/>
                <w:bCs/>
                <w:color w:val="000000"/>
                <w:sz w:val="12"/>
                <w:szCs w:val="12"/>
              </w:rPr>
              <w:t xml:space="preserve">€ 261.7 </w:t>
            </w:r>
          </w:p>
        </w:tc>
        <w:tc>
          <w:tcPr>
            <w:tcW w:w="1416" w:type="dxa"/>
            <w:tcBorders>
              <w:top w:val="single" w:sz="4" w:space="0" w:color="auto"/>
              <w:left w:val="single" w:sz="4" w:space="0" w:color="auto"/>
              <w:bottom w:val="nil"/>
            </w:tcBorders>
            <w:shd w:val="clear" w:color="auto" w:fill="auto"/>
            <w:vAlign w:val="center"/>
          </w:tcPr>
          <w:p w14:paraId="6EEEFC86" w14:textId="77777777" w:rsidR="0044035E" w:rsidRPr="00A455FD" w:rsidRDefault="0044035E" w:rsidP="006A1A41">
            <w:pPr>
              <w:spacing w:line="276" w:lineRule="auto"/>
              <w:ind w:firstLineChars="100" w:firstLine="120"/>
              <w:jc w:val="right"/>
              <w:rPr>
                <w:rFonts w:asciiTheme="minorHAnsi" w:hAnsiTheme="minorHAnsi" w:cstheme="minorHAnsi"/>
                <w:b/>
                <w:bCs/>
                <w:sz w:val="12"/>
                <w:szCs w:val="12"/>
              </w:rPr>
            </w:pPr>
            <w:r w:rsidRPr="00A455FD">
              <w:rPr>
                <w:rFonts w:asciiTheme="minorHAnsi" w:hAnsiTheme="minorHAnsi" w:cstheme="minorHAnsi"/>
                <w:b/>
                <w:sz w:val="12"/>
                <w:szCs w:val="12"/>
              </w:rPr>
              <w:t xml:space="preserve">€ 397.9 </w:t>
            </w:r>
          </w:p>
        </w:tc>
      </w:tr>
      <w:tr w:rsidR="0044035E" w:rsidRPr="00CA4A72" w14:paraId="6C0B8744" w14:textId="77777777" w:rsidTr="006A1A41">
        <w:trPr>
          <w:trHeight w:val="170"/>
        </w:trPr>
        <w:tc>
          <w:tcPr>
            <w:tcW w:w="3965" w:type="dxa"/>
            <w:tcBorders>
              <w:top w:val="nil"/>
              <w:bottom w:val="nil"/>
              <w:right w:val="single" w:sz="4" w:space="0" w:color="auto"/>
            </w:tcBorders>
            <w:shd w:val="clear" w:color="auto" w:fill="auto"/>
            <w:vAlign w:val="center"/>
            <w:hideMark/>
          </w:tcPr>
          <w:p w14:paraId="6D7EA866" w14:textId="77777777" w:rsidR="0044035E" w:rsidRPr="00CA4A72" w:rsidRDefault="0044035E" w:rsidP="006A1A41">
            <w:pPr>
              <w:keepNext/>
              <w:rPr>
                <w:rFonts w:asciiTheme="minorHAnsi" w:eastAsia="Times New Roman" w:hAnsiTheme="minorHAnsi" w:cstheme="minorHAnsi"/>
                <w:sz w:val="12"/>
                <w:szCs w:val="12"/>
                <w:lang w:eastAsia="en-GB"/>
              </w:rPr>
            </w:pPr>
            <w:r w:rsidRPr="007F7C5D">
              <w:rPr>
                <w:rFonts w:asciiTheme="minorHAnsi" w:hAnsiTheme="minorHAnsi" w:cstheme="minorHAnsi"/>
                <w:sz w:val="12"/>
                <w:szCs w:val="12"/>
              </w:rPr>
              <w:t>Financial income (loss), net</w:t>
            </w:r>
          </w:p>
        </w:tc>
        <w:tc>
          <w:tcPr>
            <w:tcW w:w="1416" w:type="dxa"/>
            <w:tcBorders>
              <w:top w:val="nil"/>
              <w:left w:val="single" w:sz="4" w:space="0" w:color="auto"/>
              <w:bottom w:val="single" w:sz="4" w:space="0" w:color="auto"/>
              <w:right w:val="single" w:sz="4" w:space="0" w:color="auto"/>
            </w:tcBorders>
            <w:shd w:val="clear" w:color="000000" w:fill="FFFFFF"/>
            <w:vAlign w:val="center"/>
          </w:tcPr>
          <w:p w14:paraId="2F0F4C17"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(6.5)</w:t>
            </w:r>
          </w:p>
        </w:tc>
        <w:tc>
          <w:tcPr>
            <w:tcW w:w="1416" w:type="dxa"/>
            <w:tcBorders>
              <w:top w:val="nil"/>
              <w:left w:val="nil"/>
              <w:bottom w:val="single" w:sz="4" w:space="0" w:color="auto"/>
              <w:right w:val="single" w:sz="4" w:space="0" w:color="auto"/>
            </w:tcBorders>
            <w:shd w:val="clear" w:color="000000" w:fill="FFFFFF"/>
            <w:vAlign w:val="center"/>
          </w:tcPr>
          <w:p w14:paraId="78E6CBB8"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hAnsiTheme="minorHAnsi" w:cstheme="minorHAnsi"/>
                <w:sz w:val="12"/>
                <w:szCs w:val="12"/>
              </w:rPr>
              <w:t xml:space="preserve">0.2 </w:t>
            </w:r>
          </w:p>
        </w:tc>
        <w:tc>
          <w:tcPr>
            <w:tcW w:w="1416" w:type="dxa"/>
            <w:tcBorders>
              <w:top w:val="nil"/>
              <w:left w:val="single" w:sz="4" w:space="0" w:color="auto"/>
              <w:bottom w:val="single" w:sz="4" w:space="0" w:color="auto"/>
              <w:right w:val="single" w:sz="4" w:space="0" w:color="auto"/>
            </w:tcBorders>
            <w:shd w:val="clear" w:color="000000" w:fill="FFFFFF"/>
            <w:vAlign w:val="center"/>
          </w:tcPr>
          <w:p w14:paraId="492248FB"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color w:val="000000"/>
                <w:sz w:val="12"/>
                <w:szCs w:val="12"/>
              </w:rPr>
              <w:t>(13.0)</w:t>
            </w:r>
          </w:p>
        </w:tc>
        <w:tc>
          <w:tcPr>
            <w:tcW w:w="1416" w:type="dxa"/>
            <w:tcBorders>
              <w:top w:val="nil"/>
              <w:left w:val="single" w:sz="4" w:space="0" w:color="auto"/>
              <w:bottom w:val="single" w:sz="4" w:space="0" w:color="auto"/>
            </w:tcBorders>
            <w:shd w:val="clear" w:color="000000" w:fill="FFFFFF"/>
            <w:vAlign w:val="center"/>
          </w:tcPr>
          <w:p w14:paraId="435697D4"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sz w:val="12"/>
                <w:szCs w:val="12"/>
              </w:rPr>
              <w:t xml:space="preserve">5.3 </w:t>
            </w:r>
          </w:p>
        </w:tc>
      </w:tr>
      <w:tr w:rsidR="0044035E" w:rsidRPr="00CA4A72" w14:paraId="74E0F184" w14:textId="77777777" w:rsidTr="006A1A41">
        <w:trPr>
          <w:trHeight w:val="170"/>
        </w:trPr>
        <w:tc>
          <w:tcPr>
            <w:tcW w:w="3965" w:type="dxa"/>
            <w:tcBorders>
              <w:top w:val="nil"/>
              <w:bottom w:val="nil"/>
              <w:right w:val="single" w:sz="4" w:space="0" w:color="auto"/>
            </w:tcBorders>
            <w:shd w:val="clear" w:color="auto" w:fill="auto"/>
            <w:vAlign w:val="center"/>
            <w:hideMark/>
          </w:tcPr>
          <w:p w14:paraId="11512116" w14:textId="77777777" w:rsidR="0044035E" w:rsidRPr="00CA4A72" w:rsidRDefault="0044035E" w:rsidP="006A1A41">
            <w:pPr>
              <w:keepNext/>
              <w:rPr>
                <w:rFonts w:asciiTheme="minorHAnsi" w:eastAsia="Times New Roman" w:hAnsiTheme="minorHAnsi" w:cstheme="minorHAnsi"/>
                <w:b/>
                <w:bCs/>
                <w:sz w:val="12"/>
                <w:szCs w:val="12"/>
                <w:lang w:eastAsia="en-GB"/>
              </w:rPr>
            </w:pPr>
            <w:r w:rsidRPr="00CA4A72">
              <w:rPr>
                <w:rFonts w:asciiTheme="minorHAnsi" w:hAnsiTheme="minorHAnsi" w:cstheme="minorHAnsi"/>
                <w:b/>
                <w:bCs/>
                <w:sz w:val="12"/>
                <w:szCs w:val="12"/>
              </w:rPr>
              <w:t>Income before income taxes</w:t>
            </w:r>
          </w:p>
        </w:tc>
        <w:tc>
          <w:tcPr>
            <w:tcW w:w="1416" w:type="dxa"/>
            <w:tcBorders>
              <w:top w:val="single" w:sz="4" w:space="0" w:color="auto"/>
              <w:left w:val="single" w:sz="4" w:space="0" w:color="auto"/>
              <w:bottom w:val="nil"/>
              <w:right w:val="single" w:sz="4" w:space="0" w:color="auto"/>
            </w:tcBorders>
            <w:shd w:val="clear" w:color="auto" w:fill="auto"/>
            <w:vAlign w:val="center"/>
          </w:tcPr>
          <w:p w14:paraId="706EF353" w14:textId="77777777" w:rsidR="0044035E" w:rsidRPr="00A455FD" w:rsidRDefault="0044035E" w:rsidP="006A1A41">
            <w:pPr>
              <w:spacing w:line="276" w:lineRule="auto"/>
              <w:ind w:firstLineChars="100" w:firstLine="120"/>
              <w:jc w:val="right"/>
              <w:rPr>
                <w:rFonts w:asciiTheme="minorHAnsi" w:eastAsia="Times New Roman" w:hAnsiTheme="minorHAnsi" w:cstheme="minorHAnsi"/>
                <w:b/>
                <w:sz w:val="12"/>
                <w:szCs w:val="12"/>
                <w:highlight w:val="yellow"/>
                <w:lang w:eastAsia="en-GB"/>
              </w:rPr>
            </w:pPr>
            <w:r w:rsidRPr="00A455FD">
              <w:rPr>
                <w:rFonts w:asciiTheme="minorHAnsi" w:hAnsiTheme="minorHAnsi" w:cstheme="minorHAnsi"/>
                <w:b/>
                <w:bCs/>
                <w:color w:val="000000"/>
                <w:sz w:val="12"/>
                <w:szCs w:val="12"/>
              </w:rPr>
              <w:t xml:space="preserve">€ 104.2 </w:t>
            </w:r>
          </w:p>
        </w:tc>
        <w:tc>
          <w:tcPr>
            <w:tcW w:w="1416" w:type="dxa"/>
            <w:tcBorders>
              <w:top w:val="single" w:sz="4" w:space="0" w:color="auto"/>
              <w:left w:val="nil"/>
              <w:bottom w:val="nil"/>
              <w:right w:val="single" w:sz="4" w:space="0" w:color="auto"/>
            </w:tcBorders>
            <w:shd w:val="clear" w:color="auto" w:fill="auto"/>
            <w:vAlign w:val="center"/>
          </w:tcPr>
          <w:p w14:paraId="6B79A90B" w14:textId="77777777" w:rsidR="0044035E" w:rsidRPr="00A455FD" w:rsidRDefault="0044035E" w:rsidP="006A1A41">
            <w:pPr>
              <w:spacing w:line="276" w:lineRule="auto"/>
              <w:ind w:firstLineChars="100" w:firstLine="120"/>
              <w:jc w:val="right"/>
              <w:rPr>
                <w:rFonts w:asciiTheme="minorHAnsi" w:eastAsia="Times New Roman" w:hAnsiTheme="minorHAnsi" w:cstheme="minorHAnsi"/>
                <w:b/>
                <w:sz w:val="12"/>
                <w:szCs w:val="12"/>
                <w:highlight w:val="yellow"/>
                <w:lang w:eastAsia="en-GB"/>
              </w:rPr>
            </w:pPr>
            <w:r w:rsidRPr="00A455FD">
              <w:rPr>
                <w:rFonts w:asciiTheme="minorHAnsi" w:hAnsiTheme="minorHAnsi" w:cstheme="minorHAnsi"/>
                <w:b/>
                <w:bCs/>
                <w:sz w:val="12"/>
                <w:szCs w:val="12"/>
              </w:rPr>
              <w:t xml:space="preserve">€ 182.3 </w:t>
            </w:r>
          </w:p>
        </w:tc>
        <w:tc>
          <w:tcPr>
            <w:tcW w:w="1416" w:type="dxa"/>
            <w:tcBorders>
              <w:top w:val="single" w:sz="4" w:space="0" w:color="auto"/>
              <w:left w:val="single" w:sz="4" w:space="0" w:color="auto"/>
              <w:right w:val="single" w:sz="4" w:space="0" w:color="auto"/>
            </w:tcBorders>
            <w:shd w:val="clear" w:color="auto" w:fill="auto"/>
            <w:vAlign w:val="center"/>
          </w:tcPr>
          <w:p w14:paraId="3556E86F" w14:textId="77777777" w:rsidR="0044035E" w:rsidRPr="00A455FD" w:rsidRDefault="0044035E" w:rsidP="006A1A41">
            <w:pPr>
              <w:spacing w:line="276" w:lineRule="auto"/>
              <w:ind w:firstLineChars="100" w:firstLine="120"/>
              <w:jc w:val="right"/>
              <w:rPr>
                <w:rFonts w:asciiTheme="minorHAnsi" w:hAnsiTheme="minorHAnsi" w:cstheme="minorHAnsi"/>
                <w:b/>
                <w:sz w:val="12"/>
                <w:szCs w:val="12"/>
              </w:rPr>
            </w:pPr>
            <w:r w:rsidRPr="00A455FD">
              <w:rPr>
                <w:rFonts w:asciiTheme="minorHAnsi" w:hAnsiTheme="minorHAnsi" w:cstheme="minorHAnsi"/>
                <w:b/>
                <w:bCs/>
                <w:color w:val="000000"/>
                <w:sz w:val="12"/>
                <w:szCs w:val="12"/>
              </w:rPr>
              <w:t xml:space="preserve">€ 248.7 </w:t>
            </w:r>
          </w:p>
        </w:tc>
        <w:tc>
          <w:tcPr>
            <w:tcW w:w="1416" w:type="dxa"/>
            <w:tcBorders>
              <w:top w:val="single" w:sz="4" w:space="0" w:color="auto"/>
              <w:left w:val="single" w:sz="4" w:space="0" w:color="auto"/>
            </w:tcBorders>
            <w:shd w:val="clear" w:color="auto" w:fill="auto"/>
            <w:vAlign w:val="center"/>
          </w:tcPr>
          <w:p w14:paraId="621FB148" w14:textId="77777777" w:rsidR="0044035E" w:rsidRPr="00A455FD" w:rsidRDefault="0044035E" w:rsidP="006A1A41">
            <w:pPr>
              <w:spacing w:line="276" w:lineRule="auto"/>
              <w:ind w:firstLineChars="100" w:firstLine="120"/>
              <w:jc w:val="right"/>
              <w:rPr>
                <w:rFonts w:asciiTheme="minorHAnsi" w:hAnsiTheme="minorHAnsi" w:cstheme="minorHAnsi"/>
                <w:b/>
                <w:sz w:val="12"/>
                <w:szCs w:val="12"/>
              </w:rPr>
            </w:pPr>
            <w:r w:rsidRPr="00A455FD">
              <w:rPr>
                <w:rFonts w:asciiTheme="minorHAnsi" w:hAnsiTheme="minorHAnsi" w:cstheme="minorHAnsi"/>
                <w:b/>
                <w:sz w:val="12"/>
                <w:szCs w:val="12"/>
              </w:rPr>
              <w:t xml:space="preserve">€ 403.3 </w:t>
            </w:r>
          </w:p>
        </w:tc>
      </w:tr>
      <w:tr w:rsidR="0044035E" w:rsidRPr="00CA4A72" w14:paraId="17D993B2" w14:textId="77777777" w:rsidTr="006A1A41">
        <w:trPr>
          <w:trHeight w:val="170"/>
        </w:trPr>
        <w:tc>
          <w:tcPr>
            <w:tcW w:w="3965" w:type="dxa"/>
            <w:tcBorders>
              <w:top w:val="nil"/>
              <w:bottom w:val="nil"/>
              <w:right w:val="single" w:sz="4" w:space="0" w:color="auto"/>
            </w:tcBorders>
            <w:shd w:val="clear" w:color="auto" w:fill="auto"/>
            <w:vAlign w:val="center"/>
            <w:hideMark/>
          </w:tcPr>
          <w:p w14:paraId="749E5767" w14:textId="77777777" w:rsidR="0044035E" w:rsidRPr="00CA4A72" w:rsidRDefault="0044035E" w:rsidP="006A1A41">
            <w:pPr>
              <w:keepNext/>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Income tax expense</w:t>
            </w:r>
          </w:p>
        </w:tc>
        <w:tc>
          <w:tcPr>
            <w:tcW w:w="1416" w:type="dxa"/>
            <w:tcBorders>
              <w:top w:val="nil"/>
              <w:left w:val="single" w:sz="4" w:space="0" w:color="auto"/>
              <w:bottom w:val="nil"/>
              <w:right w:val="single" w:sz="4" w:space="0" w:color="auto"/>
            </w:tcBorders>
            <w:shd w:val="clear" w:color="auto" w:fill="auto"/>
            <w:vAlign w:val="center"/>
          </w:tcPr>
          <w:p w14:paraId="798BED65"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(24.1)</w:t>
            </w:r>
          </w:p>
        </w:tc>
        <w:tc>
          <w:tcPr>
            <w:tcW w:w="1416" w:type="dxa"/>
            <w:tcBorders>
              <w:top w:val="nil"/>
              <w:left w:val="nil"/>
              <w:bottom w:val="nil"/>
              <w:right w:val="single" w:sz="4" w:space="0" w:color="auto"/>
            </w:tcBorders>
            <w:shd w:val="clear" w:color="auto" w:fill="auto"/>
            <w:vAlign w:val="center"/>
          </w:tcPr>
          <w:p w14:paraId="081F39F3"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hAnsiTheme="minorHAnsi" w:cstheme="minorHAnsi"/>
                <w:sz w:val="12"/>
                <w:szCs w:val="12"/>
              </w:rPr>
              <w:t>(51.1)</w:t>
            </w:r>
          </w:p>
        </w:tc>
        <w:tc>
          <w:tcPr>
            <w:tcW w:w="1416" w:type="dxa"/>
            <w:tcBorders>
              <w:left w:val="single" w:sz="4" w:space="0" w:color="auto"/>
              <w:right w:val="single" w:sz="4" w:space="0" w:color="auto"/>
            </w:tcBorders>
            <w:shd w:val="clear" w:color="auto" w:fill="auto"/>
            <w:vAlign w:val="center"/>
          </w:tcPr>
          <w:p w14:paraId="30FED54D"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color w:val="000000"/>
                <w:sz w:val="12"/>
                <w:szCs w:val="12"/>
              </w:rPr>
              <w:t>(59.4)</w:t>
            </w:r>
          </w:p>
        </w:tc>
        <w:tc>
          <w:tcPr>
            <w:tcW w:w="1416" w:type="dxa"/>
            <w:tcBorders>
              <w:left w:val="single" w:sz="4" w:space="0" w:color="auto"/>
            </w:tcBorders>
            <w:shd w:val="clear" w:color="auto" w:fill="auto"/>
            <w:vAlign w:val="center"/>
          </w:tcPr>
          <w:p w14:paraId="3B49C363"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sz w:val="12"/>
                <w:szCs w:val="12"/>
              </w:rPr>
              <w:t>(114.0)</w:t>
            </w:r>
          </w:p>
        </w:tc>
      </w:tr>
      <w:tr w:rsidR="0044035E" w:rsidRPr="00CA4A72" w14:paraId="208FACEE" w14:textId="77777777" w:rsidTr="006A1A41">
        <w:trPr>
          <w:trHeight w:val="170"/>
        </w:trPr>
        <w:tc>
          <w:tcPr>
            <w:tcW w:w="3965" w:type="dxa"/>
            <w:tcBorders>
              <w:top w:val="nil"/>
              <w:bottom w:val="nil"/>
              <w:right w:val="single" w:sz="4" w:space="0" w:color="auto"/>
            </w:tcBorders>
            <w:shd w:val="clear" w:color="auto" w:fill="auto"/>
            <w:vAlign w:val="center"/>
            <w:hideMark/>
          </w:tcPr>
          <w:p w14:paraId="1103C844" w14:textId="77777777" w:rsidR="0044035E" w:rsidRPr="00CA4A72" w:rsidRDefault="0044035E" w:rsidP="006A1A41">
            <w:pPr>
              <w:keepNext/>
              <w:rPr>
                <w:rFonts w:asciiTheme="minorHAnsi" w:eastAsia="Times New Roman" w:hAnsiTheme="minorHAnsi" w:cstheme="minorHAnsi"/>
                <w:b/>
                <w:bCs/>
                <w:sz w:val="12"/>
                <w:szCs w:val="12"/>
                <w:lang w:eastAsia="en-GB"/>
              </w:rPr>
            </w:pPr>
            <w:r w:rsidRPr="00CA4A72">
              <w:rPr>
                <w:rFonts w:asciiTheme="minorHAnsi" w:hAnsiTheme="minorHAnsi" w:cstheme="minorHAnsi"/>
                <w:b/>
                <w:bCs/>
                <w:sz w:val="12"/>
                <w:szCs w:val="12"/>
              </w:rPr>
              <w:t xml:space="preserve">Net Income </w:t>
            </w:r>
          </w:p>
        </w:tc>
        <w:tc>
          <w:tcPr>
            <w:tcW w:w="1416" w:type="dxa"/>
            <w:tcBorders>
              <w:top w:val="nil"/>
              <w:left w:val="single" w:sz="4" w:space="0" w:color="auto"/>
              <w:bottom w:val="nil"/>
              <w:right w:val="single" w:sz="4" w:space="0" w:color="auto"/>
            </w:tcBorders>
            <w:shd w:val="clear" w:color="auto" w:fill="auto"/>
            <w:vAlign w:val="center"/>
          </w:tcPr>
          <w:p w14:paraId="59269FCF" w14:textId="77777777" w:rsidR="0044035E" w:rsidRPr="00A455FD" w:rsidRDefault="0044035E" w:rsidP="006A1A41">
            <w:pPr>
              <w:spacing w:line="276" w:lineRule="auto"/>
              <w:ind w:firstLineChars="100" w:firstLine="120"/>
              <w:jc w:val="right"/>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 xml:space="preserve">€ 80.1 </w:t>
            </w:r>
          </w:p>
        </w:tc>
        <w:tc>
          <w:tcPr>
            <w:tcW w:w="1416" w:type="dxa"/>
            <w:tcBorders>
              <w:top w:val="nil"/>
              <w:left w:val="nil"/>
              <w:bottom w:val="nil"/>
              <w:right w:val="single" w:sz="4" w:space="0" w:color="auto"/>
            </w:tcBorders>
            <w:shd w:val="clear" w:color="auto" w:fill="auto"/>
            <w:vAlign w:val="center"/>
          </w:tcPr>
          <w:p w14:paraId="39CDB080" w14:textId="77777777" w:rsidR="0044035E" w:rsidRPr="00A455FD" w:rsidRDefault="0044035E" w:rsidP="006A1A41">
            <w:pPr>
              <w:spacing w:line="276" w:lineRule="auto"/>
              <w:ind w:firstLineChars="100" w:firstLine="120"/>
              <w:jc w:val="right"/>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sz w:val="12"/>
                <w:szCs w:val="12"/>
              </w:rPr>
              <w:t xml:space="preserve">€ 131.2 </w:t>
            </w:r>
          </w:p>
        </w:tc>
        <w:tc>
          <w:tcPr>
            <w:tcW w:w="1416" w:type="dxa"/>
            <w:tcBorders>
              <w:left w:val="single" w:sz="4" w:space="0" w:color="auto"/>
              <w:right w:val="single" w:sz="4" w:space="0" w:color="auto"/>
            </w:tcBorders>
            <w:shd w:val="clear" w:color="auto" w:fill="auto"/>
            <w:vAlign w:val="center"/>
          </w:tcPr>
          <w:p w14:paraId="22F8F259" w14:textId="77777777" w:rsidR="0044035E" w:rsidRPr="00A455FD" w:rsidRDefault="0044035E" w:rsidP="006A1A41">
            <w:pPr>
              <w:spacing w:line="276" w:lineRule="auto"/>
              <w:ind w:firstLineChars="100" w:firstLine="120"/>
              <w:jc w:val="right"/>
              <w:rPr>
                <w:rFonts w:asciiTheme="minorHAnsi" w:hAnsiTheme="minorHAnsi" w:cstheme="minorHAnsi"/>
                <w:b/>
                <w:bCs/>
                <w:sz w:val="12"/>
                <w:szCs w:val="12"/>
              </w:rPr>
            </w:pPr>
            <w:r w:rsidRPr="00A455FD">
              <w:rPr>
                <w:rFonts w:asciiTheme="minorHAnsi" w:hAnsiTheme="minorHAnsi" w:cstheme="minorHAnsi"/>
                <w:b/>
                <w:bCs/>
                <w:color w:val="000000"/>
                <w:sz w:val="12"/>
                <w:szCs w:val="12"/>
              </w:rPr>
              <w:t xml:space="preserve">€ 189.3 </w:t>
            </w:r>
          </w:p>
        </w:tc>
        <w:tc>
          <w:tcPr>
            <w:tcW w:w="1416" w:type="dxa"/>
            <w:tcBorders>
              <w:left w:val="single" w:sz="4" w:space="0" w:color="auto"/>
            </w:tcBorders>
            <w:shd w:val="clear" w:color="auto" w:fill="auto"/>
            <w:vAlign w:val="center"/>
          </w:tcPr>
          <w:p w14:paraId="4375FDA0" w14:textId="77777777" w:rsidR="0044035E" w:rsidRPr="00A455FD" w:rsidRDefault="0044035E" w:rsidP="006A1A41">
            <w:pPr>
              <w:spacing w:line="276" w:lineRule="auto"/>
              <w:ind w:firstLineChars="100" w:firstLine="120"/>
              <w:jc w:val="right"/>
              <w:rPr>
                <w:rFonts w:asciiTheme="minorHAnsi" w:hAnsiTheme="minorHAnsi" w:cstheme="minorHAnsi"/>
                <w:b/>
                <w:bCs/>
                <w:sz w:val="12"/>
                <w:szCs w:val="12"/>
              </w:rPr>
            </w:pPr>
            <w:r w:rsidRPr="00A455FD">
              <w:rPr>
                <w:rFonts w:asciiTheme="minorHAnsi" w:hAnsiTheme="minorHAnsi" w:cstheme="minorHAnsi"/>
                <w:b/>
                <w:sz w:val="12"/>
                <w:szCs w:val="12"/>
              </w:rPr>
              <w:t xml:space="preserve">€ 289.3 </w:t>
            </w:r>
          </w:p>
        </w:tc>
      </w:tr>
      <w:tr w:rsidR="0044035E" w:rsidRPr="00CA4A72" w14:paraId="405F8B50" w14:textId="77777777" w:rsidTr="006A1A41">
        <w:trPr>
          <w:trHeight w:val="170"/>
        </w:trPr>
        <w:tc>
          <w:tcPr>
            <w:tcW w:w="3965" w:type="dxa"/>
            <w:tcBorders>
              <w:top w:val="nil"/>
              <w:bottom w:val="nil"/>
              <w:right w:val="single" w:sz="4" w:space="0" w:color="auto"/>
            </w:tcBorders>
            <w:shd w:val="clear" w:color="auto" w:fill="auto"/>
            <w:vAlign w:val="center"/>
            <w:hideMark/>
          </w:tcPr>
          <w:p w14:paraId="42E9FD14" w14:textId="77777777" w:rsidR="0044035E" w:rsidRPr="00CA4A72" w:rsidRDefault="0044035E" w:rsidP="006A1A41">
            <w:pPr>
              <w:keepNext/>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Non-controlling interest</w:t>
            </w:r>
          </w:p>
        </w:tc>
        <w:tc>
          <w:tcPr>
            <w:tcW w:w="1416" w:type="dxa"/>
            <w:tcBorders>
              <w:top w:val="nil"/>
              <w:left w:val="single" w:sz="4" w:space="0" w:color="auto"/>
              <w:bottom w:val="double" w:sz="4" w:space="0" w:color="auto"/>
              <w:right w:val="single" w:sz="4" w:space="0" w:color="auto"/>
            </w:tcBorders>
            <w:shd w:val="clear" w:color="auto" w:fill="auto"/>
            <w:vAlign w:val="center"/>
          </w:tcPr>
          <w:p w14:paraId="259EC135"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 xml:space="preserve">2.9 </w:t>
            </w:r>
          </w:p>
        </w:tc>
        <w:tc>
          <w:tcPr>
            <w:tcW w:w="1416" w:type="dxa"/>
            <w:tcBorders>
              <w:top w:val="nil"/>
              <w:left w:val="nil"/>
              <w:bottom w:val="double" w:sz="4" w:space="0" w:color="auto"/>
              <w:right w:val="single" w:sz="4" w:space="0" w:color="auto"/>
            </w:tcBorders>
            <w:shd w:val="clear" w:color="auto" w:fill="auto"/>
            <w:vAlign w:val="center"/>
          </w:tcPr>
          <w:p w14:paraId="5666D908"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hAnsiTheme="minorHAnsi" w:cstheme="minorHAnsi"/>
                <w:sz w:val="12"/>
                <w:szCs w:val="12"/>
              </w:rPr>
              <w:t xml:space="preserve">2.8 </w:t>
            </w:r>
          </w:p>
        </w:tc>
        <w:tc>
          <w:tcPr>
            <w:tcW w:w="1416" w:type="dxa"/>
            <w:tcBorders>
              <w:left w:val="single" w:sz="4" w:space="0" w:color="auto"/>
              <w:bottom w:val="double" w:sz="4" w:space="0" w:color="auto"/>
              <w:right w:val="single" w:sz="4" w:space="0" w:color="auto"/>
            </w:tcBorders>
            <w:shd w:val="clear" w:color="auto" w:fill="auto"/>
            <w:vAlign w:val="center"/>
          </w:tcPr>
          <w:p w14:paraId="42A0EC63"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color w:val="000000"/>
                <w:sz w:val="12"/>
                <w:szCs w:val="12"/>
              </w:rPr>
              <w:t xml:space="preserve">6.1 </w:t>
            </w:r>
          </w:p>
        </w:tc>
        <w:tc>
          <w:tcPr>
            <w:tcW w:w="1416" w:type="dxa"/>
            <w:tcBorders>
              <w:left w:val="single" w:sz="4" w:space="0" w:color="auto"/>
              <w:bottom w:val="double" w:sz="4" w:space="0" w:color="auto"/>
            </w:tcBorders>
            <w:shd w:val="clear" w:color="auto" w:fill="auto"/>
            <w:vAlign w:val="center"/>
          </w:tcPr>
          <w:p w14:paraId="32995BB2"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sz w:val="12"/>
                <w:szCs w:val="12"/>
              </w:rPr>
              <w:t xml:space="preserve">5.6 </w:t>
            </w:r>
          </w:p>
        </w:tc>
      </w:tr>
      <w:tr w:rsidR="0044035E" w:rsidRPr="00CA4A72" w14:paraId="33A05CD7" w14:textId="77777777" w:rsidTr="006A1A41">
        <w:trPr>
          <w:trHeight w:val="170"/>
        </w:trPr>
        <w:tc>
          <w:tcPr>
            <w:tcW w:w="3965" w:type="dxa"/>
            <w:tcBorders>
              <w:top w:val="nil"/>
              <w:bottom w:val="nil"/>
              <w:right w:val="single" w:sz="4" w:space="0" w:color="auto"/>
            </w:tcBorders>
            <w:shd w:val="clear" w:color="auto" w:fill="auto"/>
            <w:vAlign w:val="center"/>
            <w:hideMark/>
          </w:tcPr>
          <w:p w14:paraId="2C705920" w14:textId="77777777" w:rsidR="0044035E" w:rsidRPr="00CA4A72" w:rsidRDefault="0044035E" w:rsidP="006A1A41">
            <w:pPr>
              <w:keepNext/>
              <w:rPr>
                <w:rFonts w:asciiTheme="minorHAnsi" w:eastAsia="Times New Roman" w:hAnsiTheme="minorHAnsi" w:cstheme="minorHAnsi"/>
                <w:b/>
                <w:bCs/>
                <w:sz w:val="12"/>
                <w:szCs w:val="12"/>
                <w:lang w:eastAsia="en-GB"/>
              </w:rPr>
            </w:pPr>
            <w:r w:rsidRPr="00CA4A72">
              <w:rPr>
                <w:rFonts w:asciiTheme="minorHAnsi" w:hAnsiTheme="minorHAnsi" w:cstheme="minorHAnsi"/>
                <w:b/>
                <w:bCs/>
                <w:sz w:val="12"/>
                <w:szCs w:val="12"/>
              </w:rPr>
              <w:t>Net Income attributable to equity holders of the parent</w:t>
            </w:r>
          </w:p>
        </w:tc>
        <w:tc>
          <w:tcPr>
            <w:tcW w:w="1416" w:type="dxa"/>
            <w:tcBorders>
              <w:top w:val="double" w:sz="4" w:space="0" w:color="auto"/>
              <w:left w:val="single" w:sz="4" w:space="0" w:color="auto"/>
              <w:bottom w:val="double" w:sz="4" w:space="0" w:color="auto"/>
              <w:right w:val="single" w:sz="4" w:space="0" w:color="auto"/>
            </w:tcBorders>
            <w:shd w:val="clear" w:color="auto" w:fill="auto"/>
            <w:vAlign w:val="center"/>
          </w:tcPr>
          <w:p w14:paraId="6D17EB07" w14:textId="77777777" w:rsidR="0044035E" w:rsidRPr="00A455FD" w:rsidRDefault="0044035E" w:rsidP="006A1A41">
            <w:pPr>
              <w:spacing w:line="276" w:lineRule="auto"/>
              <w:ind w:firstLineChars="100" w:firstLine="120"/>
              <w:jc w:val="right"/>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 xml:space="preserve">€ 83.0 </w:t>
            </w:r>
          </w:p>
        </w:tc>
        <w:tc>
          <w:tcPr>
            <w:tcW w:w="1416" w:type="dxa"/>
            <w:tcBorders>
              <w:top w:val="double" w:sz="4" w:space="0" w:color="auto"/>
              <w:left w:val="single" w:sz="4" w:space="0" w:color="auto"/>
              <w:bottom w:val="double" w:sz="4" w:space="0" w:color="auto"/>
              <w:right w:val="single" w:sz="4" w:space="0" w:color="auto"/>
            </w:tcBorders>
            <w:shd w:val="clear" w:color="auto" w:fill="auto"/>
            <w:vAlign w:val="center"/>
          </w:tcPr>
          <w:p w14:paraId="49A0538B" w14:textId="77777777" w:rsidR="0044035E" w:rsidRPr="00A455FD" w:rsidRDefault="0044035E" w:rsidP="006A1A41">
            <w:pPr>
              <w:ind w:firstLineChars="100" w:firstLine="120"/>
              <w:jc w:val="right"/>
              <w:rPr>
                <w:rFonts w:asciiTheme="minorHAnsi" w:hAnsiTheme="minorHAnsi" w:cstheme="minorHAnsi"/>
                <w:b/>
                <w:bCs/>
                <w:sz w:val="12"/>
                <w:szCs w:val="12"/>
              </w:rPr>
            </w:pPr>
            <w:r w:rsidRPr="00A455FD">
              <w:rPr>
                <w:rFonts w:asciiTheme="minorHAnsi" w:hAnsiTheme="minorHAnsi" w:cstheme="minorHAnsi"/>
                <w:b/>
                <w:bCs/>
                <w:sz w:val="12"/>
                <w:szCs w:val="12"/>
              </w:rPr>
              <w:t xml:space="preserve">€ 134.1 </w:t>
            </w:r>
          </w:p>
        </w:tc>
        <w:tc>
          <w:tcPr>
            <w:tcW w:w="1416" w:type="dxa"/>
            <w:tcBorders>
              <w:top w:val="double" w:sz="4" w:space="0" w:color="auto"/>
              <w:left w:val="single" w:sz="4" w:space="0" w:color="auto"/>
              <w:bottom w:val="double" w:sz="4" w:space="0" w:color="auto"/>
              <w:right w:val="single" w:sz="4" w:space="0" w:color="auto"/>
            </w:tcBorders>
            <w:shd w:val="clear" w:color="auto" w:fill="auto"/>
            <w:vAlign w:val="center"/>
          </w:tcPr>
          <w:p w14:paraId="26B1D9D5" w14:textId="77777777" w:rsidR="0044035E" w:rsidRPr="00A455FD" w:rsidRDefault="0044035E" w:rsidP="006A1A41">
            <w:pPr>
              <w:spacing w:line="276" w:lineRule="auto"/>
              <w:ind w:firstLineChars="100" w:firstLine="120"/>
              <w:jc w:val="right"/>
              <w:rPr>
                <w:rFonts w:asciiTheme="minorHAnsi" w:hAnsiTheme="minorHAnsi" w:cstheme="minorHAnsi"/>
                <w:b/>
                <w:bCs/>
                <w:sz w:val="12"/>
                <w:szCs w:val="12"/>
              </w:rPr>
            </w:pPr>
            <w:r w:rsidRPr="00A455FD">
              <w:rPr>
                <w:rFonts w:asciiTheme="minorHAnsi" w:hAnsiTheme="minorHAnsi" w:cstheme="minorHAnsi"/>
                <w:b/>
                <w:bCs/>
                <w:color w:val="000000"/>
                <w:sz w:val="12"/>
                <w:szCs w:val="12"/>
              </w:rPr>
              <w:t xml:space="preserve">€ 195.4 </w:t>
            </w:r>
          </w:p>
        </w:tc>
        <w:tc>
          <w:tcPr>
            <w:tcW w:w="1416" w:type="dxa"/>
            <w:tcBorders>
              <w:top w:val="double" w:sz="4" w:space="0" w:color="auto"/>
              <w:left w:val="single" w:sz="4" w:space="0" w:color="auto"/>
              <w:bottom w:val="double" w:sz="4" w:space="0" w:color="auto"/>
            </w:tcBorders>
            <w:shd w:val="clear" w:color="auto" w:fill="auto"/>
            <w:vAlign w:val="center"/>
          </w:tcPr>
          <w:p w14:paraId="0FFE8E28" w14:textId="77777777" w:rsidR="0044035E" w:rsidRPr="00A455FD" w:rsidRDefault="0044035E" w:rsidP="006A1A41">
            <w:pPr>
              <w:spacing w:line="276" w:lineRule="auto"/>
              <w:ind w:firstLineChars="100" w:firstLine="120"/>
              <w:jc w:val="right"/>
              <w:rPr>
                <w:rFonts w:asciiTheme="minorHAnsi" w:hAnsiTheme="minorHAnsi" w:cstheme="minorHAnsi"/>
                <w:b/>
                <w:bCs/>
                <w:sz w:val="12"/>
                <w:szCs w:val="12"/>
              </w:rPr>
            </w:pPr>
            <w:r w:rsidRPr="00A455FD">
              <w:rPr>
                <w:rFonts w:asciiTheme="minorHAnsi" w:hAnsiTheme="minorHAnsi" w:cstheme="minorHAnsi"/>
                <w:b/>
                <w:sz w:val="12"/>
                <w:szCs w:val="12"/>
              </w:rPr>
              <w:t xml:space="preserve">€ 294.9 </w:t>
            </w:r>
          </w:p>
        </w:tc>
      </w:tr>
      <w:tr w:rsidR="0044035E" w:rsidRPr="00CA4A72" w14:paraId="1A8E5B62" w14:textId="77777777" w:rsidTr="006A1A41">
        <w:trPr>
          <w:trHeight w:val="170"/>
        </w:trPr>
        <w:tc>
          <w:tcPr>
            <w:tcW w:w="3965" w:type="dxa"/>
            <w:tcBorders>
              <w:top w:val="nil"/>
              <w:bottom w:val="nil"/>
              <w:right w:val="single" w:sz="4" w:space="0" w:color="auto"/>
            </w:tcBorders>
            <w:shd w:val="clear" w:color="auto" w:fill="auto"/>
            <w:vAlign w:val="center"/>
            <w:hideMark/>
          </w:tcPr>
          <w:p w14:paraId="2A166273" w14:textId="77777777" w:rsidR="0044035E" w:rsidRPr="00CA4A72" w:rsidRDefault="0044035E" w:rsidP="006A1A41">
            <w:pPr>
              <w:keepNext/>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 xml:space="preserve">Basic net income per share </w:t>
            </w:r>
          </w:p>
        </w:tc>
        <w:tc>
          <w:tcPr>
            <w:tcW w:w="1416" w:type="dxa"/>
            <w:tcBorders>
              <w:top w:val="double" w:sz="4" w:space="0" w:color="auto"/>
              <w:left w:val="single" w:sz="4" w:space="0" w:color="auto"/>
              <w:bottom w:val="double" w:sz="4" w:space="0" w:color="auto"/>
              <w:right w:val="single" w:sz="4" w:space="0" w:color="auto"/>
            </w:tcBorders>
            <w:shd w:val="clear" w:color="auto" w:fill="auto"/>
            <w:vAlign w:val="center"/>
          </w:tcPr>
          <w:p w14:paraId="37CB8E0D"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0.32</w:t>
            </w:r>
          </w:p>
        </w:tc>
        <w:tc>
          <w:tcPr>
            <w:tcW w:w="1416" w:type="dxa"/>
            <w:tcBorders>
              <w:top w:val="double" w:sz="4" w:space="0" w:color="auto"/>
              <w:left w:val="single" w:sz="4" w:space="0" w:color="auto"/>
              <w:bottom w:val="double" w:sz="4" w:space="0" w:color="auto"/>
              <w:right w:val="single" w:sz="4" w:space="0" w:color="auto"/>
            </w:tcBorders>
            <w:shd w:val="clear" w:color="auto" w:fill="auto"/>
            <w:vAlign w:val="center"/>
          </w:tcPr>
          <w:p w14:paraId="17154C03"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eastAsia="Times New Roman" w:hAnsiTheme="minorHAnsi" w:cstheme="minorHAnsi"/>
                <w:sz w:val="12"/>
                <w:szCs w:val="12"/>
                <w:lang w:eastAsia="en-GB"/>
              </w:rPr>
              <w:t>0.52</w:t>
            </w:r>
          </w:p>
        </w:tc>
        <w:tc>
          <w:tcPr>
            <w:tcW w:w="1416" w:type="dxa"/>
            <w:tcBorders>
              <w:top w:val="double" w:sz="4" w:space="0" w:color="auto"/>
              <w:left w:val="single" w:sz="4" w:space="0" w:color="auto"/>
              <w:bottom w:val="double" w:sz="4" w:space="0" w:color="auto"/>
              <w:right w:val="single" w:sz="4" w:space="0" w:color="auto"/>
            </w:tcBorders>
            <w:shd w:val="clear" w:color="auto" w:fill="auto"/>
            <w:vAlign w:val="center"/>
          </w:tcPr>
          <w:p w14:paraId="2711C6EA"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color w:val="000000"/>
                <w:sz w:val="12"/>
                <w:szCs w:val="12"/>
              </w:rPr>
              <w:t>0.75</w:t>
            </w:r>
          </w:p>
        </w:tc>
        <w:tc>
          <w:tcPr>
            <w:tcW w:w="1416" w:type="dxa"/>
            <w:tcBorders>
              <w:top w:val="double" w:sz="4" w:space="0" w:color="auto"/>
              <w:left w:val="single" w:sz="4" w:space="0" w:color="auto"/>
              <w:bottom w:val="double" w:sz="4" w:space="0" w:color="auto"/>
            </w:tcBorders>
            <w:shd w:val="clear" w:color="auto" w:fill="auto"/>
            <w:vAlign w:val="center"/>
          </w:tcPr>
          <w:p w14:paraId="7008BED8"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sz w:val="12"/>
                <w:szCs w:val="12"/>
              </w:rPr>
              <w:t>1.14</w:t>
            </w:r>
          </w:p>
        </w:tc>
      </w:tr>
      <w:tr w:rsidR="0044035E" w:rsidRPr="00CA4A72" w14:paraId="7D3BCCDE" w14:textId="77777777" w:rsidTr="006A1A41">
        <w:trPr>
          <w:trHeight w:val="170"/>
        </w:trPr>
        <w:tc>
          <w:tcPr>
            <w:tcW w:w="3965" w:type="dxa"/>
            <w:tcBorders>
              <w:top w:val="nil"/>
              <w:bottom w:val="nil"/>
              <w:right w:val="single" w:sz="4" w:space="0" w:color="auto"/>
            </w:tcBorders>
            <w:shd w:val="clear" w:color="auto" w:fill="auto"/>
            <w:vAlign w:val="center"/>
            <w:hideMark/>
          </w:tcPr>
          <w:p w14:paraId="62547C44" w14:textId="77777777" w:rsidR="0044035E" w:rsidRPr="00CA4A72" w:rsidRDefault="0044035E" w:rsidP="006A1A41">
            <w:pPr>
              <w:keepNext/>
              <w:rPr>
                <w:rFonts w:asciiTheme="minorHAnsi" w:eastAsia="Times New Roman" w:hAnsiTheme="minorHAnsi" w:cstheme="minorHAnsi"/>
                <w:b/>
                <w:bCs/>
                <w:sz w:val="12"/>
                <w:szCs w:val="12"/>
                <w:lang w:eastAsia="en-GB"/>
              </w:rPr>
            </w:pPr>
            <w:r w:rsidRPr="00CA4A72">
              <w:rPr>
                <w:rFonts w:asciiTheme="minorHAnsi" w:hAnsiTheme="minorHAnsi" w:cstheme="minorHAnsi"/>
                <w:b/>
                <w:bCs/>
                <w:sz w:val="12"/>
                <w:szCs w:val="12"/>
              </w:rPr>
              <w:t xml:space="preserve">Diluted net income per share </w:t>
            </w:r>
          </w:p>
        </w:tc>
        <w:tc>
          <w:tcPr>
            <w:tcW w:w="1416" w:type="dxa"/>
            <w:tcBorders>
              <w:top w:val="double" w:sz="4" w:space="0" w:color="auto"/>
              <w:left w:val="single" w:sz="4" w:space="0" w:color="auto"/>
              <w:bottom w:val="double" w:sz="4" w:space="0" w:color="auto"/>
              <w:right w:val="single" w:sz="4" w:space="0" w:color="auto"/>
            </w:tcBorders>
            <w:shd w:val="clear" w:color="auto" w:fill="auto"/>
            <w:vAlign w:val="center"/>
          </w:tcPr>
          <w:p w14:paraId="5E302959" w14:textId="77777777" w:rsidR="0044035E" w:rsidRPr="00A455FD" w:rsidRDefault="0044035E" w:rsidP="006A1A41">
            <w:pPr>
              <w:spacing w:line="276" w:lineRule="auto"/>
              <w:ind w:firstLineChars="100" w:firstLine="120"/>
              <w:jc w:val="right"/>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 xml:space="preserve">€ 0.32 </w:t>
            </w:r>
          </w:p>
        </w:tc>
        <w:tc>
          <w:tcPr>
            <w:tcW w:w="1416" w:type="dxa"/>
            <w:tcBorders>
              <w:top w:val="double" w:sz="4" w:space="0" w:color="auto"/>
              <w:left w:val="single" w:sz="4" w:space="0" w:color="auto"/>
              <w:bottom w:val="double" w:sz="4" w:space="0" w:color="auto"/>
              <w:right w:val="single" w:sz="4" w:space="0" w:color="auto"/>
            </w:tcBorders>
            <w:shd w:val="clear" w:color="auto" w:fill="auto"/>
            <w:vAlign w:val="center"/>
          </w:tcPr>
          <w:p w14:paraId="78AF23B4" w14:textId="77777777" w:rsidR="0044035E" w:rsidRPr="00A455FD" w:rsidRDefault="0044035E" w:rsidP="006A1A41">
            <w:pPr>
              <w:spacing w:line="276" w:lineRule="auto"/>
              <w:ind w:firstLineChars="100" w:firstLine="120"/>
              <w:jc w:val="right"/>
              <w:rPr>
                <w:rFonts w:asciiTheme="minorHAnsi" w:eastAsia="Times New Roman" w:hAnsiTheme="minorHAnsi" w:cstheme="minorHAnsi"/>
                <w:b/>
                <w:bCs/>
                <w:sz w:val="12"/>
                <w:szCs w:val="12"/>
                <w:highlight w:val="yellow"/>
                <w:lang w:eastAsia="en-GB"/>
              </w:rPr>
            </w:pPr>
            <w:r w:rsidRPr="00A455FD">
              <w:rPr>
                <w:rFonts w:asciiTheme="minorHAnsi" w:eastAsia="Times New Roman" w:hAnsiTheme="minorHAnsi" w:cstheme="minorHAnsi"/>
                <w:b/>
                <w:bCs/>
                <w:sz w:val="12"/>
                <w:szCs w:val="12"/>
                <w:lang w:eastAsia="en-GB"/>
              </w:rPr>
              <w:t>€ 0.51</w:t>
            </w:r>
          </w:p>
        </w:tc>
        <w:tc>
          <w:tcPr>
            <w:tcW w:w="1416" w:type="dxa"/>
            <w:tcBorders>
              <w:top w:val="double" w:sz="4" w:space="0" w:color="auto"/>
              <w:left w:val="single" w:sz="4" w:space="0" w:color="auto"/>
              <w:bottom w:val="double" w:sz="4" w:space="0" w:color="auto"/>
              <w:right w:val="single" w:sz="4" w:space="0" w:color="auto"/>
            </w:tcBorders>
            <w:shd w:val="clear" w:color="auto" w:fill="auto"/>
            <w:vAlign w:val="center"/>
          </w:tcPr>
          <w:p w14:paraId="71F9B190" w14:textId="77777777" w:rsidR="0044035E" w:rsidRPr="00A455FD" w:rsidRDefault="0044035E" w:rsidP="006A1A41">
            <w:pPr>
              <w:spacing w:line="276" w:lineRule="auto"/>
              <w:ind w:firstLineChars="100" w:firstLine="120"/>
              <w:jc w:val="right"/>
              <w:rPr>
                <w:rFonts w:asciiTheme="minorHAnsi" w:hAnsiTheme="minorHAnsi" w:cstheme="minorHAnsi"/>
                <w:b/>
                <w:bCs/>
                <w:sz w:val="12"/>
                <w:szCs w:val="12"/>
              </w:rPr>
            </w:pPr>
            <w:r w:rsidRPr="00A455FD">
              <w:rPr>
                <w:rFonts w:asciiTheme="minorHAnsi" w:hAnsiTheme="minorHAnsi" w:cstheme="minorHAnsi"/>
                <w:b/>
                <w:bCs/>
                <w:color w:val="000000"/>
                <w:sz w:val="12"/>
                <w:szCs w:val="12"/>
              </w:rPr>
              <w:t xml:space="preserve">€ 0.74 </w:t>
            </w:r>
          </w:p>
        </w:tc>
        <w:tc>
          <w:tcPr>
            <w:tcW w:w="1416" w:type="dxa"/>
            <w:tcBorders>
              <w:top w:val="double" w:sz="4" w:space="0" w:color="auto"/>
              <w:left w:val="single" w:sz="4" w:space="0" w:color="auto"/>
              <w:bottom w:val="double" w:sz="4" w:space="0" w:color="auto"/>
            </w:tcBorders>
            <w:shd w:val="clear" w:color="auto" w:fill="auto"/>
            <w:vAlign w:val="center"/>
          </w:tcPr>
          <w:p w14:paraId="131DE736" w14:textId="77777777" w:rsidR="0044035E" w:rsidRPr="00A455FD" w:rsidRDefault="0044035E" w:rsidP="006A1A41">
            <w:pPr>
              <w:spacing w:line="276" w:lineRule="auto"/>
              <w:ind w:firstLineChars="100" w:firstLine="120"/>
              <w:jc w:val="right"/>
              <w:rPr>
                <w:rFonts w:asciiTheme="minorHAnsi" w:hAnsiTheme="minorHAnsi" w:cstheme="minorHAnsi"/>
                <w:b/>
                <w:bCs/>
                <w:sz w:val="12"/>
                <w:szCs w:val="12"/>
              </w:rPr>
            </w:pPr>
            <w:r w:rsidRPr="00A455FD">
              <w:rPr>
                <w:rFonts w:asciiTheme="minorHAnsi" w:hAnsiTheme="minorHAnsi" w:cstheme="minorHAnsi"/>
                <w:b/>
                <w:sz w:val="12"/>
                <w:szCs w:val="12"/>
              </w:rPr>
              <w:t xml:space="preserve">€ 1.13 </w:t>
            </w:r>
          </w:p>
        </w:tc>
      </w:tr>
      <w:tr w:rsidR="0044035E" w:rsidRPr="00CA4A72" w14:paraId="5E457E7C" w14:textId="77777777" w:rsidTr="006A1A41">
        <w:trPr>
          <w:trHeight w:val="170"/>
        </w:trPr>
        <w:tc>
          <w:tcPr>
            <w:tcW w:w="3965" w:type="dxa"/>
            <w:tcBorders>
              <w:top w:val="nil"/>
              <w:bottom w:val="nil"/>
              <w:right w:val="single" w:sz="4" w:space="0" w:color="auto"/>
            </w:tcBorders>
            <w:shd w:val="clear" w:color="auto" w:fill="auto"/>
            <w:vAlign w:val="center"/>
            <w:hideMark/>
          </w:tcPr>
          <w:p w14:paraId="7A2F6113" w14:textId="77777777" w:rsidR="0044035E" w:rsidRPr="00CA4A72" w:rsidRDefault="0044035E" w:rsidP="006A1A41">
            <w:pPr>
              <w:keepNext/>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 xml:space="preserve">Basic weighted average shares outstanding (in millions) </w:t>
            </w:r>
          </w:p>
        </w:tc>
        <w:tc>
          <w:tcPr>
            <w:tcW w:w="1416" w:type="dxa"/>
            <w:tcBorders>
              <w:top w:val="double" w:sz="4" w:space="0" w:color="auto"/>
              <w:left w:val="single" w:sz="4" w:space="0" w:color="auto"/>
              <w:bottom w:val="double" w:sz="4" w:space="0" w:color="auto"/>
              <w:right w:val="single" w:sz="4" w:space="0" w:color="auto"/>
            </w:tcBorders>
            <w:shd w:val="clear" w:color="auto" w:fill="auto"/>
            <w:vAlign w:val="center"/>
          </w:tcPr>
          <w:p w14:paraId="06ABFCA2"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 xml:space="preserve">260.2 </w:t>
            </w:r>
          </w:p>
        </w:tc>
        <w:tc>
          <w:tcPr>
            <w:tcW w:w="1416" w:type="dxa"/>
            <w:tcBorders>
              <w:top w:val="double" w:sz="4" w:space="0" w:color="auto"/>
              <w:left w:val="single" w:sz="4" w:space="0" w:color="auto"/>
              <w:bottom w:val="double" w:sz="4" w:space="0" w:color="auto"/>
              <w:right w:val="single" w:sz="4" w:space="0" w:color="auto"/>
            </w:tcBorders>
            <w:shd w:val="clear" w:color="auto" w:fill="auto"/>
            <w:vAlign w:val="center"/>
          </w:tcPr>
          <w:p w14:paraId="0F078788"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eastAsia="Times New Roman" w:hAnsiTheme="minorHAnsi" w:cstheme="minorHAnsi"/>
                <w:sz w:val="12"/>
                <w:szCs w:val="12"/>
                <w:lang w:eastAsia="en-GB"/>
              </w:rPr>
              <w:t>259.5</w:t>
            </w:r>
          </w:p>
        </w:tc>
        <w:tc>
          <w:tcPr>
            <w:tcW w:w="1416" w:type="dxa"/>
            <w:tcBorders>
              <w:top w:val="double" w:sz="4" w:space="0" w:color="auto"/>
              <w:left w:val="single" w:sz="4" w:space="0" w:color="auto"/>
              <w:bottom w:val="double" w:sz="4" w:space="0" w:color="auto"/>
              <w:right w:val="single" w:sz="4" w:space="0" w:color="auto"/>
            </w:tcBorders>
            <w:shd w:val="clear" w:color="auto" w:fill="auto"/>
            <w:vAlign w:val="center"/>
          </w:tcPr>
          <w:p w14:paraId="2EE7141F"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color w:val="000000"/>
                <w:sz w:val="12"/>
                <w:szCs w:val="12"/>
              </w:rPr>
              <w:t xml:space="preserve">260.0 </w:t>
            </w:r>
          </w:p>
        </w:tc>
        <w:tc>
          <w:tcPr>
            <w:tcW w:w="1416" w:type="dxa"/>
            <w:tcBorders>
              <w:top w:val="double" w:sz="4" w:space="0" w:color="auto"/>
              <w:left w:val="single" w:sz="4" w:space="0" w:color="auto"/>
              <w:bottom w:val="double" w:sz="4" w:space="0" w:color="auto"/>
            </w:tcBorders>
            <w:shd w:val="clear" w:color="auto" w:fill="auto"/>
            <w:vAlign w:val="center"/>
          </w:tcPr>
          <w:p w14:paraId="71FBA713"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sz w:val="12"/>
                <w:szCs w:val="12"/>
              </w:rPr>
              <w:t xml:space="preserve">259.2 </w:t>
            </w:r>
          </w:p>
        </w:tc>
      </w:tr>
      <w:tr w:rsidR="0044035E" w:rsidRPr="00CA4A72" w14:paraId="612BFD30" w14:textId="77777777" w:rsidTr="006A1A41">
        <w:trPr>
          <w:trHeight w:val="170"/>
        </w:trPr>
        <w:tc>
          <w:tcPr>
            <w:tcW w:w="3965" w:type="dxa"/>
            <w:tcBorders>
              <w:top w:val="nil"/>
              <w:bottom w:val="single" w:sz="4" w:space="0" w:color="auto"/>
              <w:right w:val="single" w:sz="4" w:space="0" w:color="auto"/>
            </w:tcBorders>
            <w:shd w:val="clear" w:color="auto" w:fill="auto"/>
            <w:vAlign w:val="center"/>
            <w:hideMark/>
          </w:tcPr>
          <w:p w14:paraId="2B123B2E" w14:textId="77777777" w:rsidR="0044035E" w:rsidRPr="00CA4A72" w:rsidRDefault="0044035E" w:rsidP="006A1A41">
            <w:pPr>
              <w:keepNext/>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 xml:space="preserve">Diluted weighted average shares outstanding (in millions) </w:t>
            </w:r>
          </w:p>
        </w:tc>
        <w:tc>
          <w:tcPr>
            <w:tcW w:w="1416" w:type="dxa"/>
            <w:tcBorders>
              <w:top w:val="double" w:sz="4" w:space="0" w:color="auto"/>
              <w:left w:val="single" w:sz="4" w:space="0" w:color="auto"/>
              <w:bottom w:val="single" w:sz="4" w:space="0" w:color="auto"/>
              <w:right w:val="single" w:sz="4" w:space="0" w:color="auto"/>
            </w:tcBorders>
            <w:shd w:val="clear" w:color="auto" w:fill="auto"/>
            <w:vAlign w:val="center"/>
          </w:tcPr>
          <w:p w14:paraId="75752F45"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 xml:space="preserve">262.7 </w:t>
            </w:r>
          </w:p>
        </w:tc>
        <w:tc>
          <w:tcPr>
            <w:tcW w:w="1416" w:type="dxa"/>
            <w:tcBorders>
              <w:top w:val="double" w:sz="4" w:space="0" w:color="auto"/>
              <w:left w:val="single" w:sz="4" w:space="0" w:color="auto"/>
              <w:bottom w:val="single" w:sz="4" w:space="0" w:color="auto"/>
              <w:right w:val="single" w:sz="4" w:space="0" w:color="auto"/>
            </w:tcBorders>
            <w:shd w:val="clear" w:color="auto" w:fill="auto"/>
            <w:vAlign w:val="center"/>
          </w:tcPr>
          <w:p w14:paraId="2BA368EC" w14:textId="77777777" w:rsidR="0044035E" w:rsidRPr="00A455FD"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eastAsia="en-GB"/>
              </w:rPr>
            </w:pPr>
            <w:r w:rsidRPr="00A455FD">
              <w:rPr>
                <w:rFonts w:asciiTheme="minorHAnsi" w:eastAsia="Times New Roman" w:hAnsiTheme="minorHAnsi" w:cstheme="minorHAnsi"/>
                <w:sz w:val="12"/>
                <w:szCs w:val="12"/>
                <w:lang w:eastAsia="en-GB"/>
              </w:rPr>
              <w:t>261.1</w:t>
            </w:r>
          </w:p>
        </w:tc>
        <w:tc>
          <w:tcPr>
            <w:tcW w:w="1416" w:type="dxa"/>
            <w:tcBorders>
              <w:top w:val="double" w:sz="4" w:space="0" w:color="auto"/>
              <w:left w:val="single" w:sz="4" w:space="0" w:color="auto"/>
              <w:bottom w:val="single" w:sz="4" w:space="0" w:color="auto"/>
              <w:right w:val="single" w:sz="4" w:space="0" w:color="auto"/>
            </w:tcBorders>
            <w:shd w:val="clear" w:color="auto" w:fill="auto"/>
            <w:vAlign w:val="center"/>
          </w:tcPr>
          <w:p w14:paraId="36FCED24"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color w:val="000000"/>
                <w:sz w:val="12"/>
                <w:szCs w:val="12"/>
              </w:rPr>
              <w:t xml:space="preserve">262.8 </w:t>
            </w:r>
          </w:p>
        </w:tc>
        <w:tc>
          <w:tcPr>
            <w:tcW w:w="1416" w:type="dxa"/>
            <w:tcBorders>
              <w:top w:val="double" w:sz="4" w:space="0" w:color="auto"/>
              <w:left w:val="single" w:sz="4" w:space="0" w:color="auto"/>
              <w:bottom w:val="single" w:sz="4" w:space="0" w:color="auto"/>
            </w:tcBorders>
            <w:shd w:val="clear" w:color="auto" w:fill="auto"/>
            <w:vAlign w:val="center"/>
          </w:tcPr>
          <w:p w14:paraId="20225BE4" w14:textId="77777777" w:rsidR="0044035E" w:rsidRPr="00A455FD" w:rsidRDefault="0044035E" w:rsidP="006A1A41">
            <w:pPr>
              <w:spacing w:line="276" w:lineRule="auto"/>
              <w:ind w:firstLineChars="100" w:firstLine="120"/>
              <w:jc w:val="right"/>
              <w:rPr>
                <w:rFonts w:asciiTheme="minorHAnsi" w:hAnsiTheme="minorHAnsi" w:cstheme="minorHAnsi"/>
                <w:sz w:val="12"/>
                <w:szCs w:val="12"/>
              </w:rPr>
            </w:pPr>
            <w:r w:rsidRPr="00A455FD">
              <w:rPr>
                <w:rFonts w:asciiTheme="minorHAnsi" w:hAnsiTheme="minorHAnsi" w:cstheme="minorHAnsi"/>
                <w:sz w:val="12"/>
                <w:szCs w:val="12"/>
              </w:rPr>
              <w:t xml:space="preserve">260.8 </w:t>
            </w:r>
          </w:p>
        </w:tc>
      </w:tr>
    </w:tbl>
    <w:p w14:paraId="6F9CFF97" w14:textId="77777777" w:rsidR="0044035E" w:rsidRPr="00CA4A72" w:rsidRDefault="0044035E" w:rsidP="0044035E">
      <w:pPr>
        <w:spacing w:line="276" w:lineRule="auto"/>
        <w:rPr>
          <w:rFonts w:asciiTheme="minorHAnsi" w:eastAsia="MS Mincho" w:hAnsiTheme="minorHAnsi" w:cstheme="minorHAnsi"/>
          <w:bCs/>
          <w:color w:val="000000"/>
          <w:sz w:val="12"/>
          <w:szCs w:val="12"/>
          <w:lang w:eastAsia="ja-JP"/>
        </w:rPr>
      </w:pPr>
      <w:r w:rsidRPr="002C073C">
        <w:rPr>
          <w:rFonts w:asciiTheme="minorHAnsi" w:eastAsia="MS Mincho" w:hAnsiTheme="minorHAnsi" w:cstheme="minorHAnsi"/>
          <w:bCs/>
          <w:color w:val="000000"/>
          <w:sz w:val="12"/>
          <w:szCs w:val="12"/>
          <w:vertAlign w:val="superscript"/>
          <w:lang w:eastAsia="ja-JP"/>
        </w:rPr>
        <w:t>(1)</w:t>
      </w:r>
      <w:r w:rsidRPr="00CA4A72">
        <w:rPr>
          <w:rFonts w:asciiTheme="minorHAnsi" w:eastAsia="MS Mincho" w:hAnsiTheme="minorHAnsi" w:cstheme="minorHAnsi"/>
          <w:bCs/>
          <w:color w:val="000000"/>
          <w:sz w:val="12"/>
          <w:szCs w:val="12"/>
          <w:lang w:eastAsia="ja-JP"/>
        </w:rPr>
        <w:t xml:space="preserve"> Excluding amortization of acquired intangible assets and of tangible assets revaluation</w:t>
      </w:r>
    </w:p>
    <w:p w14:paraId="750625EF" w14:textId="77777777" w:rsidR="0044035E" w:rsidRPr="00CA4A72" w:rsidRDefault="0044035E" w:rsidP="0044035E">
      <w:pPr>
        <w:spacing w:line="276" w:lineRule="auto"/>
        <w:rPr>
          <w:rFonts w:asciiTheme="minorHAnsi" w:eastAsia="MS Mincho" w:hAnsiTheme="minorHAnsi" w:cstheme="minorHAnsi"/>
          <w:bCs/>
          <w:color w:val="000000"/>
          <w:sz w:val="12"/>
          <w:szCs w:val="12"/>
          <w:lang w:eastAsia="ja-JP"/>
        </w:rPr>
      </w:pPr>
    </w:p>
    <w:p w14:paraId="07EA3930" w14:textId="77777777" w:rsidR="0044035E" w:rsidRPr="00CA4A72" w:rsidRDefault="0044035E" w:rsidP="0044035E">
      <w:pPr>
        <w:spacing w:line="276" w:lineRule="auto"/>
        <w:rPr>
          <w:rFonts w:asciiTheme="minorHAnsi" w:eastAsia="MS Mincho" w:hAnsiTheme="minorHAnsi" w:cstheme="minorHAnsi"/>
          <w:bCs/>
          <w:color w:val="000000"/>
          <w:sz w:val="12"/>
          <w:szCs w:val="12"/>
          <w:lang w:eastAsia="ja-JP"/>
        </w:rPr>
      </w:pPr>
    </w:p>
    <w:tbl>
      <w:tblPr>
        <w:tblW w:w="96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5"/>
        <w:gridCol w:w="1416"/>
        <w:gridCol w:w="1416"/>
        <w:gridCol w:w="1416"/>
        <w:gridCol w:w="1416"/>
      </w:tblGrid>
      <w:tr w:rsidR="0044035E" w:rsidRPr="00CA4A72" w14:paraId="08F839E6" w14:textId="77777777" w:rsidTr="006A1A41">
        <w:trPr>
          <w:trHeight w:val="227"/>
        </w:trPr>
        <w:tc>
          <w:tcPr>
            <w:tcW w:w="3965" w:type="dxa"/>
            <w:vMerge w:val="restart"/>
            <w:tcBorders>
              <w:top w:val="single" w:sz="4" w:space="0" w:color="auto"/>
              <w:bottom w:val="single" w:sz="4" w:space="0" w:color="auto"/>
              <w:right w:val="single" w:sz="4" w:space="0" w:color="auto"/>
            </w:tcBorders>
            <w:vAlign w:val="bottom"/>
            <w:hideMark/>
          </w:tcPr>
          <w:p w14:paraId="3FA0A78D" w14:textId="77777777" w:rsidR="0044035E" w:rsidRPr="00CA4A72" w:rsidRDefault="0044035E" w:rsidP="006A1A41">
            <w:pPr>
              <w:spacing w:line="276" w:lineRule="auto"/>
              <w:jc w:val="center"/>
              <w:outlineLvl w:val="0"/>
              <w:rPr>
                <w:rFonts w:asciiTheme="minorHAnsi" w:eastAsia="Times New Roman" w:hAnsiTheme="minorHAnsi" w:cstheme="minorHAnsi"/>
                <w:b/>
                <w:bCs/>
                <w:sz w:val="12"/>
                <w:szCs w:val="12"/>
                <w:lang w:eastAsia="en-GB"/>
              </w:rPr>
            </w:pPr>
            <w:r w:rsidRPr="00CA4A72">
              <w:rPr>
                <w:rFonts w:asciiTheme="minorHAnsi" w:eastAsia="Times New Roman" w:hAnsiTheme="minorHAnsi" w:cstheme="minorHAnsi"/>
                <w:b/>
                <w:bCs/>
                <w:sz w:val="12"/>
                <w:szCs w:val="12"/>
                <w:lang w:eastAsia="en-GB"/>
              </w:rPr>
              <w:t>IFRS reported</w:t>
            </w:r>
          </w:p>
          <w:p w14:paraId="1148A025" w14:textId="77777777" w:rsidR="0044035E" w:rsidRPr="00CA4A72" w:rsidRDefault="0044035E" w:rsidP="006A1A41">
            <w:pPr>
              <w:spacing w:line="276" w:lineRule="auto"/>
              <w:outlineLvl w:val="0"/>
              <w:rPr>
                <w:rFonts w:asciiTheme="minorHAnsi" w:eastAsia="Times New Roman" w:hAnsiTheme="minorHAnsi" w:cstheme="minorHAnsi"/>
                <w:b/>
                <w:bCs/>
                <w:sz w:val="12"/>
                <w:szCs w:val="12"/>
                <w:lang w:eastAsia="en-GB"/>
              </w:rPr>
            </w:pPr>
            <w:r w:rsidRPr="00CA4A72">
              <w:rPr>
                <w:rFonts w:asciiTheme="minorHAnsi" w:eastAsia="Times New Roman" w:hAnsiTheme="minorHAnsi" w:cstheme="minorHAnsi"/>
                <w:b/>
                <w:bCs/>
                <w:sz w:val="12"/>
                <w:szCs w:val="12"/>
                <w:lang w:eastAsia="en-GB"/>
              </w:rPr>
              <w:t> </w:t>
            </w:r>
          </w:p>
        </w:tc>
        <w:tc>
          <w:tcPr>
            <w:tcW w:w="2832" w:type="dxa"/>
            <w:gridSpan w:val="2"/>
            <w:tcBorders>
              <w:top w:val="single" w:sz="4" w:space="0" w:color="auto"/>
              <w:left w:val="single" w:sz="4" w:space="0" w:color="auto"/>
              <w:bottom w:val="single" w:sz="4" w:space="0" w:color="auto"/>
              <w:right w:val="single" w:sz="4" w:space="0" w:color="auto"/>
            </w:tcBorders>
            <w:vAlign w:val="center"/>
            <w:hideMark/>
          </w:tcPr>
          <w:p w14:paraId="2A346FB4" w14:textId="77777777" w:rsidR="0044035E" w:rsidRPr="00F30606" w:rsidRDefault="0044035E" w:rsidP="006A1A41">
            <w:pPr>
              <w:spacing w:line="276" w:lineRule="auto"/>
              <w:jc w:val="center"/>
              <w:outlineLvl w:val="0"/>
              <w:rPr>
                <w:rFonts w:asciiTheme="minorHAnsi" w:eastAsia="Times New Roman" w:hAnsiTheme="minorHAnsi" w:cstheme="minorHAnsi"/>
                <w:b/>
                <w:bCs/>
                <w:sz w:val="12"/>
                <w:szCs w:val="12"/>
                <w:lang w:eastAsia="en-GB"/>
              </w:rPr>
            </w:pPr>
            <w:r w:rsidRPr="00F30606">
              <w:rPr>
                <w:rFonts w:asciiTheme="minorHAnsi" w:eastAsia="Times New Roman" w:hAnsiTheme="minorHAnsi" w:cstheme="minorHAnsi"/>
                <w:b/>
                <w:bCs/>
                <w:sz w:val="12"/>
                <w:szCs w:val="12"/>
                <w:lang w:eastAsia="en-GB"/>
              </w:rPr>
              <w:t>Three months ended June 30, 2020</w:t>
            </w:r>
          </w:p>
        </w:tc>
        <w:tc>
          <w:tcPr>
            <w:tcW w:w="2832" w:type="dxa"/>
            <w:gridSpan w:val="2"/>
            <w:tcBorders>
              <w:top w:val="single" w:sz="4" w:space="0" w:color="auto"/>
              <w:left w:val="single" w:sz="4" w:space="0" w:color="auto"/>
              <w:bottom w:val="single" w:sz="4" w:space="0" w:color="auto"/>
            </w:tcBorders>
            <w:vAlign w:val="center"/>
          </w:tcPr>
          <w:p w14:paraId="38AE1213" w14:textId="77777777" w:rsidR="0044035E" w:rsidRPr="00F30606" w:rsidRDefault="0044035E" w:rsidP="006A1A41">
            <w:pPr>
              <w:spacing w:line="276" w:lineRule="auto"/>
              <w:jc w:val="center"/>
              <w:outlineLvl w:val="0"/>
              <w:rPr>
                <w:rFonts w:asciiTheme="minorHAnsi" w:eastAsia="Times New Roman" w:hAnsiTheme="minorHAnsi" w:cstheme="minorHAnsi"/>
                <w:b/>
                <w:bCs/>
                <w:sz w:val="12"/>
                <w:szCs w:val="12"/>
                <w:lang w:eastAsia="en-GB"/>
              </w:rPr>
            </w:pPr>
            <w:r w:rsidRPr="00F30606">
              <w:rPr>
                <w:rFonts w:asciiTheme="minorHAnsi" w:eastAsia="Times New Roman" w:hAnsiTheme="minorHAnsi" w:cstheme="minorHAnsi"/>
                <w:b/>
                <w:bCs/>
                <w:sz w:val="12"/>
                <w:szCs w:val="12"/>
                <w:lang w:eastAsia="en-GB"/>
              </w:rPr>
              <w:t>Six months ended June 30, 2020</w:t>
            </w:r>
          </w:p>
        </w:tc>
      </w:tr>
      <w:tr w:rsidR="0044035E" w:rsidRPr="00CA4A72" w14:paraId="6F0FB0CD" w14:textId="77777777" w:rsidTr="006A1A41">
        <w:trPr>
          <w:trHeight w:val="227"/>
        </w:trPr>
        <w:tc>
          <w:tcPr>
            <w:tcW w:w="3965" w:type="dxa"/>
            <w:vMerge/>
            <w:tcBorders>
              <w:top w:val="nil"/>
              <w:bottom w:val="single" w:sz="4" w:space="0" w:color="auto"/>
              <w:right w:val="single" w:sz="4" w:space="0" w:color="auto"/>
            </w:tcBorders>
            <w:vAlign w:val="bottom"/>
            <w:hideMark/>
          </w:tcPr>
          <w:p w14:paraId="35D1DB9C" w14:textId="77777777" w:rsidR="0044035E" w:rsidRPr="00CA4A72" w:rsidRDefault="0044035E" w:rsidP="006A1A41">
            <w:pPr>
              <w:spacing w:line="276" w:lineRule="auto"/>
              <w:outlineLvl w:val="0"/>
              <w:rPr>
                <w:rFonts w:asciiTheme="minorHAnsi" w:eastAsia="Times New Roman" w:hAnsiTheme="minorHAnsi" w:cstheme="minorHAnsi"/>
                <w:b/>
                <w:bCs/>
                <w:sz w:val="12"/>
                <w:szCs w:val="12"/>
                <w:lang w:eastAsia="en-GB"/>
              </w:rPr>
            </w:pPr>
          </w:p>
        </w:tc>
        <w:tc>
          <w:tcPr>
            <w:tcW w:w="1416" w:type="dxa"/>
            <w:tcBorders>
              <w:top w:val="single" w:sz="4" w:space="0" w:color="auto"/>
              <w:left w:val="single" w:sz="4" w:space="0" w:color="auto"/>
              <w:bottom w:val="single" w:sz="4" w:space="0" w:color="auto"/>
              <w:right w:val="single" w:sz="4" w:space="0" w:color="auto"/>
            </w:tcBorders>
            <w:vAlign w:val="center"/>
            <w:hideMark/>
          </w:tcPr>
          <w:p w14:paraId="4EE2CC35" w14:textId="77777777" w:rsidR="0044035E" w:rsidRPr="00CA4A72" w:rsidRDefault="0044035E" w:rsidP="006A1A41">
            <w:pPr>
              <w:spacing w:line="276" w:lineRule="auto"/>
              <w:jc w:val="center"/>
              <w:outlineLvl w:val="0"/>
              <w:rPr>
                <w:rFonts w:asciiTheme="minorHAnsi" w:eastAsia="Times New Roman" w:hAnsiTheme="minorHAnsi" w:cstheme="minorHAnsi"/>
                <w:b/>
                <w:bCs/>
                <w:sz w:val="12"/>
                <w:szCs w:val="12"/>
                <w:lang w:eastAsia="en-GB"/>
              </w:rPr>
            </w:pPr>
            <w:r>
              <w:rPr>
                <w:rFonts w:asciiTheme="minorHAnsi" w:hAnsiTheme="minorHAnsi" w:cstheme="minorHAnsi"/>
                <w:b/>
                <w:bCs/>
                <w:sz w:val="12"/>
                <w:szCs w:val="12"/>
              </w:rPr>
              <w:t xml:space="preserve">Change </w:t>
            </w:r>
            <w:r w:rsidRPr="009233D9">
              <w:rPr>
                <w:rFonts w:asciiTheme="minorHAnsi" w:hAnsiTheme="minorHAnsi" w:cstheme="minorHAnsi"/>
                <w:b/>
                <w:bCs/>
                <w:sz w:val="12"/>
                <w:szCs w:val="12"/>
                <w:vertAlign w:val="superscript"/>
              </w:rPr>
              <w:t>(4)</w:t>
            </w:r>
          </w:p>
        </w:tc>
        <w:tc>
          <w:tcPr>
            <w:tcW w:w="1416" w:type="dxa"/>
            <w:tcBorders>
              <w:top w:val="single" w:sz="4" w:space="0" w:color="auto"/>
              <w:left w:val="single" w:sz="4" w:space="0" w:color="auto"/>
              <w:bottom w:val="single" w:sz="4" w:space="0" w:color="auto"/>
              <w:right w:val="single" w:sz="4" w:space="0" w:color="auto"/>
            </w:tcBorders>
            <w:vAlign w:val="center"/>
            <w:hideMark/>
          </w:tcPr>
          <w:p w14:paraId="6DC0F39A" w14:textId="77777777" w:rsidR="0044035E" w:rsidRPr="00CA4A72" w:rsidRDefault="0044035E" w:rsidP="006A1A41">
            <w:pPr>
              <w:spacing w:line="276" w:lineRule="auto"/>
              <w:jc w:val="center"/>
              <w:outlineLvl w:val="0"/>
              <w:rPr>
                <w:rFonts w:asciiTheme="minorHAnsi" w:eastAsia="Times New Roman" w:hAnsiTheme="minorHAnsi" w:cstheme="minorHAnsi"/>
                <w:b/>
                <w:bCs/>
                <w:sz w:val="12"/>
                <w:szCs w:val="12"/>
                <w:lang w:eastAsia="en-GB"/>
              </w:rPr>
            </w:pPr>
            <w:r>
              <w:rPr>
                <w:rFonts w:asciiTheme="minorHAnsi" w:hAnsiTheme="minorHAnsi" w:cstheme="minorHAnsi"/>
                <w:b/>
                <w:bCs/>
                <w:sz w:val="12"/>
                <w:szCs w:val="12"/>
              </w:rPr>
              <w:t xml:space="preserve">Change in </w:t>
            </w:r>
            <w:r w:rsidRPr="00F940FF">
              <w:rPr>
                <w:rFonts w:asciiTheme="minorHAnsi" w:hAnsiTheme="minorHAnsi" w:cstheme="minorHAnsi"/>
                <w:b/>
                <w:bCs/>
                <w:sz w:val="12"/>
                <w:szCs w:val="12"/>
              </w:rPr>
              <w:t>constant currencies</w:t>
            </w:r>
          </w:p>
        </w:tc>
        <w:tc>
          <w:tcPr>
            <w:tcW w:w="1416" w:type="dxa"/>
            <w:tcBorders>
              <w:top w:val="single" w:sz="4" w:space="0" w:color="auto"/>
              <w:left w:val="single" w:sz="4" w:space="0" w:color="auto"/>
              <w:bottom w:val="single" w:sz="4" w:space="0" w:color="auto"/>
              <w:right w:val="single" w:sz="4" w:space="0" w:color="auto"/>
            </w:tcBorders>
            <w:vAlign w:val="center"/>
          </w:tcPr>
          <w:p w14:paraId="1E4E5FCC" w14:textId="77777777" w:rsidR="0044035E" w:rsidRPr="00CA4A72" w:rsidRDefault="0044035E" w:rsidP="006A1A41">
            <w:pPr>
              <w:spacing w:line="276" w:lineRule="auto"/>
              <w:jc w:val="center"/>
              <w:outlineLvl w:val="0"/>
              <w:rPr>
                <w:rFonts w:asciiTheme="minorHAnsi" w:hAnsiTheme="minorHAnsi" w:cstheme="minorHAnsi"/>
                <w:b/>
                <w:bCs/>
                <w:sz w:val="12"/>
                <w:szCs w:val="12"/>
              </w:rPr>
            </w:pPr>
            <w:r>
              <w:rPr>
                <w:rFonts w:asciiTheme="minorHAnsi" w:hAnsiTheme="minorHAnsi" w:cstheme="minorHAnsi"/>
                <w:b/>
                <w:bCs/>
                <w:sz w:val="12"/>
                <w:szCs w:val="12"/>
              </w:rPr>
              <w:t xml:space="preserve">Change </w:t>
            </w:r>
            <w:r w:rsidRPr="009233D9">
              <w:rPr>
                <w:rFonts w:asciiTheme="minorHAnsi" w:hAnsiTheme="minorHAnsi" w:cstheme="minorHAnsi"/>
                <w:b/>
                <w:bCs/>
                <w:sz w:val="12"/>
                <w:szCs w:val="12"/>
                <w:vertAlign w:val="superscript"/>
              </w:rPr>
              <w:t>(4)</w:t>
            </w:r>
          </w:p>
        </w:tc>
        <w:tc>
          <w:tcPr>
            <w:tcW w:w="1416" w:type="dxa"/>
            <w:tcBorders>
              <w:top w:val="single" w:sz="4" w:space="0" w:color="auto"/>
              <w:left w:val="single" w:sz="4" w:space="0" w:color="auto"/>
              <w:bottom w:val="single" w:sz="4" w:space="0" w:color="auto"/>
            </w:tcBorders>
            <w:vAlign w:val="center"/>
          </w:tcPr>
          <w:p w14:paraId="3FBDCA89" w14:textId="77777777" w:rsidR="0044035E" w:rsidRPr="00CA4A72" w:rsidRDefault="0044035E" w:rsidP="006A1A41">
            <w:pPr>
              <w:spacing w:line="276" w:lineRule="auto"/>
              <w:jc w:val="center"/>
              <w:outlineLvl w:val="0"/>
              <w:rPr>
                <w:rFonts w:asciiTheme="minorHAnsi" w:hAnsiTheme="minorHAnsi" w:cstheme="minorHAnsi"/>
                <w:b/>
                <w:bCs/>
                <w:sz w:val="12"/>
                <w:szCs w:val="12"/>
              </w:rPr>
            </w:pPr>
            <w:r>
              <w:rPr>
                <w:rFonts w:asciiTheme="minorHAnsi" w:hAnsiTheme="minorHAnsi" w:cstheme="minorHAnsi"/>
                <w:b/>
                <w:bCs/>
                <w:sz w:val="12"/>
                <w:szCs w:val="12"/>
              </w:rPr>
              <w:t xml:space="preserve">Change in </w:t>
            </w:r>
            <w:r w:rsidRPr="00F940FF">
              <w:rPr>
                <w:rFonts w:asciiTheme="minorHAnsi" w:hAnsiTheme="minorHAnsi" w:cstheme="minorHAnsi"/>
                <w:b/>
                <w:bCs/>
                <w:sz w:val="12"/>
                <w:szCs w:val="12"/>
              </w:rPr>
              <w:t>constant currencies</w:t>
            </w:r>
          </w:p>
        </w:tc>
      </w:tr>
      <w:tr w:rsidR="0044035E" w:rsidRPr="00CA4A72" w14:paraId="1CA05315" w14:textId="77777777" w:rsidTr="006A1A41">
        <w:trPr>
          <w:trHeight w:val="170"/>
        </w:trPr>
        <w:tc>
          <w:tcPr>
            <w:tcW w:w="3965" w:type="dxa"/>
            <w:tcBorders>
              <w:top w:val="single" w:sz="4" w:space="0" w:color="auto"/>
              <w:bottom w:val="nil"/>
              <w:right w:val="single" w:sz="4" w:space="0" w:color="auto"/>
            </w:tcBorders>
            <w:shd w:val="clear" w:color="auto" w:fill="auto"/>
            <w:vAlign w:val="center"/>
            <w:hideMark/>
          </w:tcPr>
          <w:p w14:paraId="47FE89CE" w14:textId="77777777" w:rsidR="0044035E" w:rsidRPr="00CA4A72" w:rsidRDefault="0044035E" w:rsidP="006A1A41">
            <w:pPr>
              <w:spacing w:line="276" w:lineRule="auto"/>
              <w:outlineLvl w:val="0"/>
              <w:rPr>
                <w:rFonts w:asciiTheme="minorHAnsi" w:eastAsia="Times New Roman" w:hAnsiTheme="minorHAnsi" w:cstheme="minorHAnsi"/>
                <w:b/>
                <w:bCs/>
                <w:sz w:val="12"/>
                <w:szCs w:val="12"/>
                <w:lang w:eastAsia="en-GB"/>
              </w:rPr>
            </w:pPr>
            <w:r w:rsidRPr="00CA4A72">
              <w:rPr>
                <w:rFonts w:asciiTheme="minorHAnsi" w:hAnsiTheme="minorHAnsi" w:cstheme="minorHAnsi"/>
                <w:b/>
                <w:bCs/>
                <w:sz w:val="12"/>
                <w:szCs w:val="12"/>
              </w:rPr>
              <w:t xml:space="preserve">Revenue </w:t>
            </w:r>
          </w:p>
        </w:tc>
        <w:tc>
          <w:tcPr>
            <w:tcW w:w="1416" w:type="dxa"/>
            <w:tcBorders>
              <w:top w:val="single" w:sz="4" w:space="0" w:color="auto"/>
              <w:left w:val="single" w:sz="4" w:space="0" w:color="auto"/>
              <w:right w:val="single" w:sz="4" w:space="0" w:color="auto"/>
            </w:tcBorders>
            <w:shd w:val="clear" w:color="000000" w:fill="FFFFFF"/>
            <w:vAlign w:val="center"/>
          </w:tcPr>
          <w:p w14:paraId="0AF97BE1" w14:textId="77777777" w:rsidR="0044035E" w:rsidRPr="00A455FD" w:rsidRDefault="0044035E" w:rsidP="006A1A41">
            <w:pPr>
              <w:spacing w:line="276" w:lineRule="auto"/>
              <w:jc w:val="right"/>
              <w:outlineLvl w:val="0"/>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11%</w:t>
            </w:r>
          </w:p>
        </w:tc>
        <w:tc>
          <w:tcPr>
            <w:tcW w:w="1416" w:type="dxa"/>
            <w:tcBorders>
              <w:top w:val="single" w:sz="4" w:space="0" w:color="auto"/>
              <w:left w:val="single" w:sz="4" w:space="0" w:color="auto"/>
              <w:right w:val="single" w:sz="4" w:space="0" w:color="auto"/>
            </w:tcBorders>
            <w:shd w:val="clear" w:color="auto" w:fill="auto"/>
            <w:vAlign w:val="center"/>
          </w:tcPr>
          <w:p w14:paraId="20122AA0" w14:textId="77777777" w:rsidR="0044035E" w:rsidRPr="00A455FD" w:rsidRDefault="0044035E" w:rsidP="006A1A41">
            <w:pPr>
              <w:spacing w:line="276" w:lineRule="auto"/>
              <w:jc w:val="right"/>
              <w:outlineLvl w:val="0"/>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10%</w:t>
            </w:r>
          </w:p>
        </w:tc>
        <w:tc>
          <w:tcPr>
            <w:tcW w:w="1416" w:type="dxa"/>
            <w:tcBorders>
              <w:top w:val="single" w:sz="4" w:space="0" w:color="auto"/>
              <w:left w:val="single" w:sz="4" w:space="0" w:color="auto"/>
              <w:right w:val="single" w:sz="4" w:space="0" w:color="auto"/>
            </w:tcBorders>
            <w:shd w:val="clear" w:color="000000" w:fill="FFFFFF"/>
            <w:vAlign w:val="center"/>
          </w:tcPr>
          <w:p w14:paraId="73FA0554" w14:textId="77777777" w:rsidR="0044035E" w:rsidRPr="00A455FD" w:rsidRDefault="0044035E" w:rsidP="006A1A41">
            <w:pPr>
              <w:spacing w:line="276" w:lineRule="auto"/>
              <w:jc w:val="right"/>
              <w:outlineLvl w:val="0"/>
              <w:rPr>
                <w:rFonts w:asciiTheme="minorHAnsi" w:hAnsiTheme="minorHAnsi" w:cstheme="minorHAnsi"/>
                <w:sz w:val="12"/>
                <w:szCs w:val="12"/>
              </w:rPr>
            </w:pPr>
            <w:r w:rsidRPr="00A455FD">
              <w:rPr>
                <w:rFonts w:asciiTheme="minorHAnsi" w:hAnsiTheme="minorHAnsi" w:cstheme="minorHAnsi"/>
                <w:color w:val="000000"/>
                <w:sz w:val="12"/>
                <w:szCs w:val="12"/>
              </w:rPr>
              <w:t>15%</w:t>
            </w:r>
          </w:p>
        </w:tc>
        <w:tc>
          <w:tcPr>
            <w:tcW w:w="1416" w:type="dxa"/>
            <w:tcBorders>
              <w:top w:val="single" w:sz="4" w:space="0" w:color="auto"/>
              <w:left w:val="single" w:sz="4" w:space="0" w:color="auto"/>
            </w:tcBorders>
            <w:shd w:val="clear" w:color="000000" w:fill="FFFFFF"/>
            <w:vAlign w:val="center"/>
          </w:tcPr>
          <w:p w14:paraId="59AB531D" w14:textId="77777777" w:rsidR="0044035E" w:rsidRPr="00A455FD" w:rsidRDefault="0044035E" w:rsidP="006A1A41">
            <w:pPr>
              <w:spacing w:line="276" w:lineRule="auto"/>
              <w:jc w:val="right"/>
              <w:outlineLvl w:val="0"/>
              <w:rPr>
                <w:rFonts w:asciiTheme="minorHAnsi" w:hAnsiTheme="minorHAnsi" w:cstheme="minorHAnsi"/>
                <w:sz w:val="12"/>
                <w:szCs w:val="12"/>
              </w:rPr>
            </w:pPr>
            <w:r w:rsidRPr="00A455FD">
              <w:rPr>
                <w:rFonts w:asciiTheme="minorHAnsi" w:hAnsiTheme="minorHAnsi" w:cstheme="minorHAnsi"/>
                <w:color w:val="000000"/>
                <w:sz w:val="12"/>
                <w:szCs w:val="12"/>
              </w:rPr>
              <w:t>14%</w:t>
            </w:r>
          </w:p>
        </w:tc>
      </w:tr>
      <w:tr w:rsidR="0044035E" w:rsidRPr="00CA4A72" w14:paraId="4C2AB5A5" w14:textId="77777777" w:rsidTr="006A1A41">
        <w:trPr>
          <w:trHeight w:val="170"/>
        </w:trPr>
        <w:tc>
          <w:tcPr>
            <w:tcW w:w="3965" w:type="dxa"/>
            <w:tcBorders>
              <w:top w:val="nil"/>
              <w:bottom w:val="nil"/>
              <w:right w:val="single" w:sz="4" w:space="0" w:color="auto"/>
            </w:tcBorders>
            <w:shd w:val="clear" w:color="auto" w:fill="auto"/>
            <w:vAlign w:val="center"/>
            <w:hideMark/>
          </w:tcPr>
          <w:p w14:paraId="4DA01469" w14:textId="77777777" w:rsidR="0044035E" w:rsidRPr="00CA4A72" w:rsidRDefault="0044035E" w:rsidP="006A1A41">
            <w:pPr>
              <w:spacing w:line="276" w:lineRule="auto"/>
              <w:outlineLvl w:val="0"/>
              <w:rPr>
                <w:rFonts w:asciiTheme="minorHAnsi" w:eastAsia="Times New Roman" w:hAnsiTheme="minorHAnsi" w:cstheme="minorHAnsi"/>
                <w:b/>
                <w:bCs/>
                <w:sz w:val="12"/>
                <w:szCs w:val="12"/>
                <w:lang w:eastAsia="en-GB"/>
              </w:rPr>
            </w:pPr>
            <w:r w:rsidRPr="00CA4A72">
              <w:rPr>
                <w:rFonts w:asciiTheme="minorHAnsi" w:hAnsiTheme="minorHAnsi" w:cstheme="minorHAnsi"/>
                <w:b/>
                <w:bCs/>
                <w:sz w:val="12"/>
                <w:szCs w:val="12"/>
              </w:rPr>
              <w:t>Revenue by activity</w:t>
            </w:r>
          </w:p>
        </w:tc>
        <w:tc>
          <w:tcPr>
            <w:tcW w:w="1416" w:type="dxa"/>
            <w:tcBorders>
              <w:left w:val="single" w:sz="4" w:space="0" w:color="auto"/>
              <w:right w:val="single" w:sz="4" w:space="0" w:color="auto"/>
            </w:tcBorders>
            <w:shd w:val="clear" w:color="000000" w:fill="FFFFFF"/>
            <w:vAlign w:val="center"/>
          </w:tcPr>
          <w:p w14:paraId="113BDA70" w14:textId="77777777" w:rsidR="0044035E" w:rsidRPr="00A455FD" w:rsidRDefault="0044035E" w:rsidP="006A1A41">
            <w:pPr>
              <w:spacing w:line="276" w:lineRule="auto"/>
              <w:jc w:val="right"/>
              <w:outlineLvl w:val="0"/>
              <w:rPr>
                <w:rFonts w:asciiTheme="minorHAnsi" w:eastAsia="Times New Roman" w:hAnsiTheme="minorHAnsi" w:cstheme="minorHAnsi"/>
                <w:color w:val="000000"/>
                <w:sz w:val="12"/>
                <w:szCs w:val="12"/>
                <w:lang w:eastAsia="en-GB"/>
              </w:rPr>
            </w:pPr>
          </w:p>
        </w:tc>
        <w:tc>
          <w:tcPr>
            <w:tcW w:w="1416" w:type="dxa"/>
            <w:tcBorders>
              <w:left w:val="single" w:sz="4" w:space="0" w:color="auto"/>
              <w:right w:val="single" w:sz="4" w:space="0" w:color="auto"/>
            </w:tcBorders>
            <w:shd w:val="clear" w:color="auto" w:fill="auto"/>
            <w:vAlign w:val="center"/>
          </w:tcPr>
          <w:p w14:paraId="4037A971" w14:textId="77777777" w:rsidR="0044035E" w:rsidRPr="00A455FD" w:rsidRDefault="0044035E" w:rsidP="006A1A41">
            <w:pPr>
              <w:spacing w:line="276" w:lineRule="auto"/>
              <w:jc w:val="right"/>
              <w:outlineLvl w:val="0"/>
              <w:rPr>
                <w:rFonts w:asciiTheme="minorHAnsi" w:eastAsia="Times New Roman" w:hAnsiTheme="minorHAnsi" w:cstheme="minorHAnsi"/>
                <w:color w:val="000000"/>
                <w:sz w:val="12"/>
                <w:szCs w:val="12"/>
                <w:lang w:eastAsia="en-GB"/>
              </w:rPr>
            </w:pPr>
          </w:p>
        </w:tc>
        <w:tc>
          <w:tcPr>
            <w:tcW w:w="1416" w:type="dxa"/>
            <w:tcBorders>
              <w:left w:val="single" w:sz="4" w:space="0" w:color="auto"/>
              <w:right w:val="single" w:sz="4" w:space="0" w:color="auto"/>
            </w:tcBorders>
            <w:shd w:val="clear" w:color="000000" w:fill="FFFFFF"/>
            <w:vAlign w:val="center"/>
          </w:tcPr>
          <w:p w14:paraId="326C3B14" w14:textId="77777777" w:rsidR="0044035E" w:rsidRPr="00A455FD" w:rsidRDefault="0044035E" w:rsidP="006A1A41">
            <w:pPr>
              <w:spacing w:line="276" w:lineRule="auto"/>
              <w:jc w:val="right"/>
              <w:outlineLvl w:val="0"/>
              <w:rPr>
                <w:rFonts w:asciiTheme="minorHAnsi" w:hAnsiTheme="minorHAnsi" w:cstheme="minorHAnsi"/>
                <w:color w:val="000000"/>
                <w:sz w:val="12"/>
                <w:szCs w:val="12"/>
              </w:rPr>
            </w:pPr>
          </w:p>
        </w:tc>
        <w:tc>
          <w:tcPr>
            <w:tcW w:w="1416" w:type="dxa"/>
            <w:tcBorders>
              <w:left w:val="single" w:sz="4" w:space="0" w:color="auto"/>
            </w:tcBorders>
            <w:shd w:val="clear" w:color="000000" w:fill="FFFFFF"/>
            <w:vAlign w:val="center"/>
          </w:tcPr>
          <w:p w14:paraId="7D233EBC" w14:textId="77777777" w:rsidR="0044035E" w:rsidRPr="00A455FD" w:rsidRDefault="0044035E" w:rsidP="006A1A41">
            <w:pPr>
              <w:spacing w:line="276" w:lineRule="auto"/>
              <w:jc w:val="right"/>
              <w:outlineLvl w:val="0"/>
              <w:rPr>
                <w:rFonts w:asciiTheme="minorHAnsi" w:hAnsiTheme="minorHAnsi" w:cstheme="minorHAnsi"/>
                <w:color w:val="000000"/>
                <w:sz w:val="12"/>
                <w:szCs w:val="12"/>
              </w:rPr>
            </w:pPr>
          </w:p>
        </w:tc>
      </w:tr>
      <w:tr w:rsidR="0044035E" w:rsidRPr="00CA4A72" w14:paraId="719AAA07" w14:textId="77777777" w:rsidTr="006A1A41">
        <w:trPr>
          <w:trHeight w:val="170"/>
        </w:trPr>
        <w:tc>
          <w:tcPr>
            <w:tcW w:w="3965" w:type="dxa"/>
            <w:tcBorders>
              <w:top w:val="nil"/>
              <w:bottom w:val="nil"/>
              <w:right w:val="single" w:sz="4" w:space="0" w:color="auto"/>
            </w:tcBorders>
            <w:shd w:val="clear" w:color="auto" w:fill="auto"/>
            <w:vAlign w:val="center"/>
            <w:hideMark/>
          </w:tcPr>
          <w:p w14:paraId="1D8764D1" w14:textId="77777777" w:rsidR="0044035E" w:rsidRPr="00CA4A72" w:rsidRDefault="0044035E" w:rsidP="006A1A41">
            <w:pPr>
              <w:spacing w:line="276" w:lineRule="auto"/>
              <w:outlineLvl w:val="0"/>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Software revenue</w:t>
            </w:r>
          </w:p>
        </w:tc>
        <w:tc>
          <w:tcPr>
            <w:tcW w:w="1416" w:type="dxa"/>
            <w:tcBorders>
              <w:left w:val="single" w:sz="4" w:space="0" w:color="auto"/>
              <w:right w:val="single" w:sz="4" w:space="0" w:color="auto"/>
            </w:tcBorders>
            <w:shd w:val="clear" w:color="000000" w:fill="FFFFFF"/>
            <w:vAlign w:val="center"/>
          </w:tcPr>
          <w:p w14:paraId="6E3372A6" w14:textId="77777777" w:rsidR="0044035E" w:rsidRPr="00A455FD" w:rsidRDefault="0044035E" w:rsidP="006A1A41">
            <w:pPr>
              <w:spacing w:line="276" w:lineRule="auto"/>
              <w:jc w:val="right"/>
              <w:outlineLvl w:val="0"/>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13%</w:t>
            </w:r>
          </w:p>
        </w:tc>
        <w:tc>
          <w:tcPr>
            <w:tcW w:w="1416" w:type="dxa"/>
            <w:tcBorders>
              <w:left w:val="single" w:sz="4" w:space="0" w:color="auto"/>
              <w:right w:val="single" w:sz="4" w:space="0" w:color="auto"/>
            </w:tcBorders>
            <w:shd w:val="clear" w:color="auto" w:fill="auto"/>
            <w:vAlign w:val="center"/>
          </w:tcPr>
          <w:p w14:paraId="46C24A82" w14:textId="77777777" w:rsidR="0044035E" w:rsidRPr="00A455FD" w:rsidRDefault="0044035E" w:rsidP="006A1A41">
            <w:pPr>
              <w:spacing w:line="276" w:lineRule="auto"/>
              <w:jc w:val="right"/>
              <w:outlineLvl w:val="0"/>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12%</w:t>
            </w:r>
          </w:p>
        </w:tc>
        <w:tc>
          <w:tcPr>
            <w:tcW w:w="1416" w:type="dxa"/>
            <w:tcBorders>
              <w:left w:val="single" w:sz="4" w:space="0" w:color="auto"/>
              <w:right w:val="single" w:sz="4" w:space="0" w:color="auto"/>
            </w:tcBorders>
            <w:shd w:val="clear" w:color="000000" w:fill="FFFFFF"/>
            <w:vAlign w:val="center"/>
          </w:tcPr>
          <w:p w14:paraId="26B12EFA" w14:textId="77777777" w:rsidR="0044035E" w:rsidRPr="00A455FD" w:rsidRDefault="0044035E" w:rsidP="006A1A41">
            <w:pPr>
              <w:spacing w:line="276" w:lineRule="auto"/>
              <w:jc w:val="right"/>
              <w:outlineLvl w:val="0"/>
              <w:rPr>
                <w:rFonts w:asciiTheme="minorHAnsi" w:hAnsiTheme="minorHAnsi" w:cstheme="minorHAnsi"/>
                <w:sz w:val="12"/>
                <w:szCs w:val="12"/>
              </w:rPr>
            </w:pPr>
            <w:r w:rsidRPr="00A455FD">
              <w:rPr>
                <w:rFonts w:asciiTheme="minorHAnsi" w:hAnsiTheme="minorHAnsi" w:cstheme="minorHAnsi"/>
                <w:color w:val="000000"/>
                <w:sz w:val="12"/>
                <w:szCs w:val="12"/>
              </w:rPr>
              <w:t>16%</w:t>
            </w:r>
          </w:p>
        </w:tc>
        <w:tc>
          <w:tcPr>
            <w:tcW w:w="1416" w:type="dxa"/>
            <w:tcBorders>
              <w:left w:val="single" w:sz="4" w:space="0" w:color="auto"/>
            </w:tcBorders>
            <w:shd w:val="clear" w:color="000000" w:fill="FFFFFF"/>
            <w:vAlign w:val="center"/>
          </w:tcPr>
          <w:p w14:paraId="7663E6D0" w14:textId="77777777" w:rsidR="0044035E" w:rsidRPr="00A455FD" w:rsidRDefault="0044035E" w:rsidP="006A1A41">
            <w:pPr>
              <w:spacing w:line="276" w:lineRule="auto"/>
              <w:jc w:val="right"/>
              <w:outlineLvl w:val="0"/>
              <w:rPr>
                <w:rFonts w:asciiTheme="minorHAnsi" w:hAnsiTheme="minorHAnsi" w:cstheme="minorHAnsi"/>
                <w:sz w:val="12"/>
                <w:szCs w:val="12"/>
              </w:rPr>
            </w:pPr>
            <w:r w:rsidRPr="00A455FD">
              <w:rPr>
                <w:rFonts w:asciiTheme="minorHAnsi" w:hAnsiTheme="minorHAnsi" w:cstheme="minorHAnsi"/>
                <w:color w:val="000000"/>
                <w:sz w:val="12"/>
                <w:szCs w:val="12"/>
              </w:rPr>
              <w:t>15%</w:t>
            </w:r>
          </w:p>
        </w:tc>
      </w:tr>
      <w:tr w:rsidR="0044035E" w:rsidRPr="00CA4A72" w14:paraId="05B6C61A" w14:textId="77777777" w:rsidTr="006A1A41">
        <w:trPr>
          <w:trHeight w:val="170"/>
        </w:trPr>
        <w:tc>
          <w:tcPr>
            <w:tcW w:w="3965" w:type="dxa"/>
            <w:tcBorders>
              <w:top w:val="nil"/>
              <w:bottom w:val="nil"/>
              <w:right w:val="single" w:sz="4" w:space="0" w:color="auto"/>
            </w:tcBorders>
            <w:shd w:val="clear" w:color="auto" w:fill="auto"/>
            <w:vAlign w:val="center"/>
            <w:hideMark/>
          </w:tcPr>
          <w:p w14:paraId="5579C11B" w14:textId="77777777" w:rsidR="0044035E" w:rsidRPr="00CA4A72" w:rsidRDefault="0044035E" w:rsidP="006A1A41">
            <w:pPr>
              <w:spacing w:line="276" w:lineRule="auto"/>
              <w:outlineLvl w:val="0"/>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Services revenue</w:t>
            </w:r>
          </w:p>
        </w:tc>
        <w:tc>
          <w:tcPr>
            <w:tcW w:w="1416" w:type="dxa"/>
            <w:tcBorders>
              <w:left w:val="single" w:sz="4" w:space="0" w:color="auto"/>
              <w:right w:val="single" w:sz="4" w:space="0" w:color="auto"/>
            </w:tcBorders>
            <w:shd w:val="clear" w:color="000000" w:fill="FFFFFF"/>
            <w:vAlign w:val="center"/>
          </w:tcPr>
          <w:p w14:paraId="3AF21EAC" w14:textId="77777777" w:rsidR="0044035E" w:rsidRPr="00A455FD" w:rsidRDefault="0044035E" w:rsidP="006A1A41">
            <w:pPr>
              <w:spacing w:line="276" w:lineRule="auto"/>
              <w:jc w:val="right"/>
              <w:outlineLvl w:val="0"/>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(4)%</w:t>
            </w:r>
          </w:p>
        </w:tc>
        <w:tc>
          <w:tcPr>
            <w:tcW w:w="1416" w:type="dxa"/>
            <w:tcBorders>
              <w:left w:val="single" w:sz="4" w:space="0" w:color="auto"/>
              <w:right w:val="single" w:sz="4" w:space="0" w:color="auto"/>
            </w:tcBorders>
            <w:shd w:val="clear" w:color="auto" w:fill="auto"/>
            <w:vAlign w:val="center"/>
          </w:tcPr>
          <w:p w14:paraId="758F7B9B" w14:textId="77777777" w:rsidR="0044035E" w:rsidRPr="00A455FD" w:rsidRDefault="0044035E" w:rsidP="006A1A41">
            <w:pPr>
              <w:spacing w:line="276" w:lineRule="auto"/>
              <w:jc w:val="right"/>
              <w:outlineLvl w:val="0"/>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(4)%</w:t>
            </w:r>
          </w:p>
        </w:tc>
        <w:tc>
          <w:tcPr>
            <w:tcW w:w="1416" w:type="dxa"/>
            <w:tcBorders>
              <w:left w:val="single" w:sz="4" w:space="0" w:color="auto"/>
              <w:right w:val="single" w:sz="4" w:space="0" w:color="auto"/>
            </w:tcBorders>
            <w:shd w:val="clear" w:color="000000" w:fill="FFFFFF"/>
            <w:vAlign w:val="center"/>
          </w:tcPr>
          <w:p w14:paraId="1C85E252" w14:textId="77777777" w:rsidR="0044035E" w:rsidRPr="00A455FD" w:rsidRDefault="0044035E" w:rsidP="006A1A41">
            <w:pPr>
              <w:spacing w:line="276" w:lineRule="auto"/>
              <w:jc w:val="right"/>
              <w:outlineLvl w:val="0"/>
              <w:rPr>
                <w:rFonts w:asciiTheme="minorHAnsi" w:hAnsiTheme="minorHAnsi" w:cstheme="minorHAnsi"/>
                <w:sz w:val="12"/>
                <w:szCs w:val="12"/>
              </w:rPr>
            </w:pPr>
            <w:r w:rsidRPr="00A455FD">
              <w:rPr>
                <w:rFonts w:asciiTheme="minorHAnsi" w:hAnsiTheme="minorHAnsi" w:cstheme="minorHAnsi"/>
                <w:color w:val="000000"/>
                <w:sz w:val="12"/>
                <w:szCs w:val="12"/>
              </w:rPr>
              <w:t>6%</w:t>
            </w:r>
          </w:p>
        </w:tc>
        <w:tc>
          <w:tcPr>
            <w:tcW w:w="1416" w:type="dxa"/>
            <w:tcBorders>
              <w:left w:val="single" w:sz="4" w:space="0" w:color="auto"/>
            </w:tcBorders>
            <w:shd w:val="clear" w:color="000000" w:fill="FFFFFF"/>
            <w:vAlign w:val="center"/>
          </w:tcPr>
          <w:p w14:paraId="574824C0" w14:textId="77777777" w:rsidR="0044035E" w:rsidRPr="00A455FD" w:rsidRDefault="0044035E" w:rsidP="006A1A41">
            <w:pPr>
              <w:spacing w:line="276" w:lineRule="auto"/>
              <w:jc w:val="right"/>
              <w:outlineLvl w:val="0"/>
              <w:rPr>
                <w:rFonts w:asciiTheme="minorHAnsi" w:hAnsiTheme="minorHAnsi" w:cstheme="minorHAnsi"/>
                <w:sz w:val="12"/>
                <w:szCs w:val="12"/>
              </w:rPr>
            </w:pPr>
            <w:r w:rsidRPr="00A455FD">
              <w:rPr>
                <w:rFonts w:asciiTheme="minorHAnsi" w:hAnsiTheme="minorHAnsi" w:cstheme="minorHAnsi"/>
                <w:color w:val="000000"/>
                <w:sz w:val="12"/>
                <w:szCs w:val="12"/>
              </w:rPr>
              <w:t>5%</w:t>
            </w:r>
          </w:p>
        </w:tc>
      </w:tr>
      <w:tr w:rsidR="0044035E" w:rsidRPr="00CA4A72" w14:paraId="0F1367E3" w14:textId="77777777" w:rsidTr="006A1A41">
        <w:trPr>
          <w:trHeight w:val="170"/>
        </w:trPr>
        <w:tc>
          <w:tcPr>
            <w:tcW w:w="3965" w:type="dxa"/>
            <w:tcBorders>
              <w:top w:val="nil"/>
              <w:bottom w:val="nil"/>
              <w:right w:val="single" w:sz="4" w:space="0" w:color="auto"/>
            </w:tcBorders>
            <w:shd w:val="clear" w:color="auto" w:fill="auto"/>
            <w:vAlign w:val="center"/>
            <w:hideMark/>
          </w:tcPr>
          <w:p w14:paraId="4FDA7995" w14:textId="77777777" w:rsidR="0044035E" w:rsidRPr="00CA4A72" w:rsidRDefault="0044035E" w:rsidP="006A1A41">
            <w:pPr>
              <w:spacing w:line="276" w:lineRule="auto"/>
              <w:outlineLvl w:val="0"/>
              <w:rPr>
                <w:rFonts w:asciiTheme="minorHAnsi" w:eastAsia="Times New Roman" w:hAnsiTheme="minorHAnsi" w:cstheme="minorHAnsi"/>
                <w:b/>
                <w:bCs/>
                <w:sz w:val="12"/>
                <w:szCs w:val="12"/>
                <w:lang w:eastAsia="en-GB"/>
              </w:rPr>
            </w:pPr>
            <w:r w:rsidRPr="00CA4A72">
              <w:rPr>
                <w:rFonts w:asciiTheme="minorHAnsi" w:hAnsiTheme="minorHAnsi" w:cstheme="minorHAnsi"/>
                <w:b/>
                <w:bCs/>
                <w:sz w:val="12"/>
                <w:szCs w:val="12"/>
              </w:rPr>
              <w:t>Software Revenue by product line</w:t>
            </w:r>
          </w:p>
        </w:tc>
        <w:tc>
          <w:tcPr>
            <w:tcW w:w="1416" w:type="dxa"/>
            <w:tcBorders>
              <w:left w:val="single" w:sz="4" w:space="0" w:color="auto"/>
              <w:right w:val="single" w:sz="4" w:space="0" w:color="auto"/>
            </w:tcBorders>
            <w:shd w:val="clear" w:color="000000" w:fill="FFFFFF"/>
            <w:vAlign w:val="center"/>
          </w:tcPr>
          <w:p w14:paraId="0B77346E" w14:textId="77777777" w:rsidR="0044035E" w:rsidRPr="00A455FD" w:rsidRDefault="0044035E" w:rsidP="006A1A41">
            <w:pPr>
              <w:spacing w:line="276" w:lineRule="auto"/>
              <w:jc w:val="right"/>
              <w:outlineLvl w:val="0"/>
              <w:rPr>
                <w:rFonts w:asciiTheme="minorHAnsi" w:eastAsia="Times New Roman" w:hAnsiTheme="minorHAnsi" w:cstheme="minorHAnsi"/>
                <w:color w:val="000000"/>
                <w:sz w:val="12"/>
                <w:szCs w:val="12"/>
                <w:lang w:eastAsia="en-GB"/>
              </w:rPr>
            </w:pPr>
          </w:p>
        </w:tc>
        <w:tc>
          <w:tcPr>
            <w:tcW w:w="1416" w:type="dxa"/>
            <w:tcBorders>
              <w:left w:val="single" w:sz="4" w:space="0" w:color="auto"/>
              <w:right w:val="single" w:sz="4" w:space="0" w:color="auto"/>
            </w:tcBorders>
            <w:shd w:val="clear" w:color="auto" w:fill="auto"/>
            <w:vAlign w:val="center"/>
          </w:tcPr>
          <w:p w14:paraId="772317A1" w14:textId="77777777" w:rsidR="0044035E" w:rsidRPr="00A455FD" w:rsidRDefault="0044035E" w:rsidP="006A1A41">
            <w:pPr>
              <w:spacing w:line="276" w:lineRule="auto"/>
              <w:jc w:val="right"/>
              <w:outlineLvl w:val="0"/>
              <w:rPr>
                <w:rFonts w:asciiTheme="minorHAnsi" w:eastAsia="Times New Roman" w:hAnsiTheme="minorHAnsi" w:cstheme="minorHAnsi"/>
                <w:color w:val="000000"/>
                <w:sz w:val="12"/>
                <w:szCs w:val="12"/>
                <w:lang w:eastAsia="en-GB"/>
              </w:rPr>
            </w:pPr>
          </w:p>
        </w:tc>
        <w:tc>
          <w:tcPr>
            <w:tcW w:w="1416" w:type="dxa"/>
            <w:tcBorders>
              <w:left w:val="single" w:sz="4" w:space="0" w:color="auto"/>
              <w:right w:val="single" w:sz="4" w:space="0" w:color="auto"/>
            </w:tcBorders>
            <w:shd w:val="clear" w:color="000000" w:fill="FFFFFF"/>
            <w:vAlign w:val="center"/>
          </w:tcPr>
          <w:p w14:paraId="184E7A1F" w14:textId="77777777" w:rsidR="0044035E" w:rsidRPr="00A455FD" w:rsidRDefault="0044035E" w:rsidP="006A1A41">
            <w:pPr>
              <w:spacing w:line="276" w:lineRule="auto"/>
              <w:jc w:val="right"/>
              <w:outlineLvl w:val="0"/>
              <w:rPr>
                <w:rFonts w:asciiTheme="minorHAnsi" w:hAnsiTheme="minorHAnsi" w:cstheme="minorHAnsi"/>
                <w:color w:val="000000"/>
                <w:sz w:val="12"/>
                <w:szCs w:val="12"/>
              </w:rPr>
            </w:pPr>
          </w:p>
        </w:tc>
        <w:tc>
          <w:tcPr>
            <w:tcW w:w="1416" w:type="dxa"/>
            <w:tcBorders>
              <w:left w:val="single" w:sz="4" w:space="0" w:color="auto"/>
            </w:tcBorders>
            <w:shd w:val="clear" w:color="000000" w:fill="FFFFFF"/>
            <w:vAlign w:val="center"/>
          </w:tcPr>
          <w:p w14:paraId="15AFA9D7" w14:textId="77777777" w:rsidR="0044035E" w:rsidRPr="00A455FD" w:rsidRDefault="0044035E" w:rsidP="006A1A41">
            <w:pPr>
              <w:spacing w:line="276" w:lineRule="auto"/>
              <w:jc w:val="right"/>
              <w:outlineLvl w:val="0"/>
              <w:rPr>
                <w:rFonts w:asciiTheme="minorHAnsi" w:hAnsiTheme="minorHAnsi" w:cstheme="minorHAnsi"/>
                <w:color w:val="000000"/>
                <w:sz w:val="12"/>
                <w:szCs w:val="12"/>
              </w:rPr>
            </w:pPr>
          </w:p>
        </w:tc>
      </w:tr>
      <w:tr w:rsidR="0044035E" w:rsidRPr="00CA4A72" w14:paraId="6413D0B9" w14:textId="77777777" w:rsidTr="006A1A41">
        <w:trPr>
          <w:trHeight w:val="170"/>
        </w:trPr>
        <w:tc>
          <w:tcPr>
            <w:tcW w:w="3965" w:type="dxa"/>
            <w:tcBorders>
              <w:top w:val="nil"/>
              <w:bottom w:val="nil"/>
              <w:right w:val="single" w:sz="4" w:space="0" w:color="auto"/>
            </w:tcBorders>
            <w:shd w:val="clear" w:color="auto" w:fill="auto"/>
            <w:vAlign w:val="center"/>
            <w:hideMark/>
          </w:tcPr>
          <w:p w14:paraId="76852D94" w14:textId="77777777" w:rsidR="0044035E" w:rsidRPr="00CA4A72" w:rsidRDefault="0044035E" w:rsidP="006A1A41">
            <w:pPr>
              <w:spacing w:line="276" w:lineRule="auto"/>
              <w:outlineLvl w:val="0"/>
              <w:rPr>
                <w:rFonts w:asciiTheme="minorHAnsi" w:eastAsia="Times New Roman" w:hAnsiTheme="minorHAnsi" w:cstheme="minorHAnsi"/>
                <w:sz w:val="12"/>
                <w:szCs w:val="12"/>
                <w:lang w:eastAsia="en-GB"/>
              </w:rPr>
            </w:pPr>
            <w:r>
              <w:rPr>
                <w:rFonts w:asciiTheme="minorHAnsi" w:hAnsiTheme="minorHAnsi" w:cstheme="minorHAnsi"/>
                <w:sz w:val="12"/>
                <w:szCs w:val="12"/>
              </w:rPr>
              <w:t>Industrial Innovation</w:t>
            </w:r>
          </w:p>
        </w:tc>
        <w:tc>
          <w:tcPr>
            <w:tcW w:w="1416" w:type="dxa"/>
            <w:tcBorders>
              <w:left w:val="single" w:sz="4" w:space="0" w:color="auto"/>
              <w:right w:val="single" w:sz="4" w:space="0" w:color="auto"/>
            </w:tcBorders>
            <w:shd w:val="clear" w:color="000000" w:fill="FFFFFF"/>
            <w:vAlign w:val="center"/>
          </w:tcPr>
          <w:p w14:paraId="6E3276DB" w14:textId="77777777" w:rsidR="0044035E" w:rsidRPr="00A455FD" w:rsidRDefault="0044035E" w:rsidP="006A1A41">
            <w:pPr>
              <w:spacing w:line="276" w:lineRule="auto"/>
              <w:jc w:val="right"/>
              <w:outlineLvl w:val="0"/>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(9)%</w:t>
            </w:r>
          </w:p>
        </w:tc>
        <w:tc>
          <w:tcPr>
            <w:tcW w:w="1416" w:type="dxa"/>
            <w:tcBorders>
              <w:left w:val="single" w:sz="4" w:space="0" w:color="auto"/>
              <w:right w:val="single" w:sz="4" w:space="0" w:color="auto"/>
            </w:tcBorders>
            <w:shd w:val="clear" w:color="auto" w:fill="auto"/>
            <w:vAlign w:val="center"/>
          </w:tcPr>
          <w:p w14:paraId="2106A593" w14:textId="77777777" w:rsidR="0044035E" w:rsidRPr="00A455FD" w:rsidRDefault="0044035E" w:rsidP="006A1A41">
            <w:pPr>
              <w:spacing w:line="276" w:lineRule="auto"/>
              <w:jc w:val="right"/>
              <w:outlineLvl w:val="0"/>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(9)%</w:t>
            </w:r>
          </w:p>
        </w:tc>
        <w:tc>
          <w:tcPr>
            <w:tcW w:w="1416" w:type="dxa"/>
            <w:tcBorders>
              <w:left w:val="single" w:sz="4" w:space="0" w:color="auto"/>
              <w:right w:val="single" w:sz="4" w:space="0" w:color="auto"/>
            </w:tcBorders>
            <w:shd w:val="clear" w:color="000000" w:fill="FFFFFF"/>
            <w:vAlign w:val="center"/>
          </w:tcPr>
          <w:p w14:paraId="170AAF2E" w14:textId="77777777" w:rsidR="0044035E" w:rsidRPr="00A455FD" w:rsidRDefault="0044035E" w:rsidP="006A1A41">
            <w:pPr>
              <w:spacing w:line="276" w:lineRule="auto"/>
              <w:jc w:val="right"/>
              <w:outlineLvl w:val="0"/>
              <w:rPr>
                <w:rFonts w:asciiTheme="minorHAnsi" w:hAnsiTheme="minorHAnsi" w:cstheme="minorHAnsi"/>
                <w:sz w:val="12"/>
                <w:szCs w:val="12"/>
              </w:rPr>
            </w:pPr>
            <w:r w:rsidRPr="00A455FD">
              <w:rPr>
                <w:rFonts w:asciiTheme="minorHAnsi" w:hAnsiTheme="minorHAnsi" w:cstheme="minorHAnsi"/>
                <w:color w:val="000000"/>
                <w:sz w:val="12"/>
                <w:szCs w:val="12"/>
              </w:rPr>
              <w:t>(4)%</w:t>
            </w:r>
          </w:p>
        </w:tc>
        <w:tc>
          <w:tcPr>
            <w:tcW w:w="1416" w:type="dxa"/>
            <w:tcBorders>
              <w:left w:val="single" w:sz="4" w:space="0" w:color="auto"/>
            </w:tcBorders>
            <w:shd w:val="clear" w:color="000000" w:fill="FFFFFF"/>
            <w:vAlign w:val="center"/>
          </w:tcPr>
          <w:p w14:paraId="0FEF22B9" w14:textId="77777777" w:rsidR="0044035E" w:rsidRPr="00A455FD" w:rsidRDefault="0044035E" w:rsidP="006A1A41">
            <w:pPr>
              <w:spacing w:line="276" w:lineRule="auto"/>
              <w:jc w:val="right"/>
              <w:outlineLvl w:val="0"/>
              <w:rPr>
                <w:rFonts w:asciiTheme="minorHAnsi" w:hAnsiTheme="minorHAnsi" w:cstheme="minorHAnsi"/>
                <w:sz w:val="12"/>
                <w:szCs w:val="12"/>
              </w:rPr>
            </w:pPr>
            <w:r w:rsidRPr="00A455FD">
              <w:rPr>
                <w:rFonts w:asciiTheme="minorHAnsi" w:hAnsiTheme="minorHAnsi" w:cstheme="minorHAnsi"/>
                <w:color w:val="000000"/>
                <w:sz w:val="12"/>
                <w:szCs w:val="12"/>
              </w:rPr>
              <w:t>(5)%</w:t>
            </w:r>
          </w:p>
        </w:tc>
      </w:tr>
      <w:tr w:rsidR="0044035E" w:rsidRPr="00CA4A72" w14:paraId="1CFA13E8" w14:textId="77777777" w:rsidTr="006A1A41">
        <w:trPr>
          <w:trHeight w:val="170"/>
        </w:trPr>
        <w:tc>
          <w:tcPr>
            <w:tcW w:w="3965" w:type="dxa"/>
            <w:tcBorders>
              <w:top w:val="nil"/>
              <w:bottom w:val="nil"/>
              <w:right w:val="single" w:sz="4" w:space="0" w:color="auto"/>
            </w:tcBorders>
            <w:shd w:val="clear" w:color="auto" w:fill="auto"/>
            <w:vAlign w:val="center"/>
          </w:tcPr>
          <w:p w14:paraId="673B27EA" w14:textId="77777777" w:rsidR="0044035E" w:rsidRPr="00CA4A72" w:rsidRDefault="0044035E" w:rsidP="006A1A41">
            <w:pPr>
              <w:spacing w:line="276" w:lineRule="auto"/>
              <w:ind w:firstLineChars="100" w:firstLine="120"/>
              <w:outlineLvl w:val="0"/>
              <w:rPr>
                <w:rFonts w:asciiTheme="minorHAnsi" w:hAnsiTheme="minorHAnsi" w:cstheme="minorHAnsi"/>
                <w:sz w:val="12"/>
                <w:szCs w:val="12"/>
                <w:highlight w:val="yellow"/>
              </w:rPr>
            </w:pPr>
            <w:r w:rsidRPr="009233D9">
              <w:rPr>
                <w:rFonts w:asciiTheme="minorHAnsi" w:hAnsiTheme="minorHAnsi" w:cstheme="minorHAnsi"/>
                <w:i/>
                <w:sz w:val="12"/>
                <w:szCs w:val="12"/>
              </w:rPr>
              <w:t>Of which CATIA</w:t>
            </w:r>
          </w:p>
        </w:tc>
        <w:tc>
          <w:tcPr>
            <w:tcW w:w="1416" w:type="dxa"/>
            <w:tcBorders>
              <w:left w:val="single" w:sz="4" w:space="0" w:color="auto"/>
              <w:right w:val="single" w:sz="4" w:space="0" w:color="auto"/>
            </w:tcBorders>
            <w:shd w:val="clear" w:color="000000" w:fill="FFFFFF"/>
            <w:vAlign w:val="center"/>
          </w:tcPr>
          <w:p w14:paraId="63772CA0" w14:textId="77777777" w:rsidR="0044035E" w:rsidRPr="00A455FD" w:rsidRDefault="0044035E" w:rsidP="006A1A41">
            <w:pPr>
              <w:spacing w:line="276" w:lineRule="auto"/>
              <w:jc w:val="right"/>
              <w:outlineLvl w:val="0"/>
              <w:rPr>
                <w:rFonts w:asciiTheme="minorHAnsi" w:eastAsia="Times New Roman" w:hAnsiTheme="minorHAnsi" w:cstheme="minorHAnsi"/>
                <w:sz w:val="12"/>
                <w:szCs w:val="12"/>
                <w:lang w:eastAsia="en-GB"/>
              </w:rPr>
            </w:pPr>
            <w:r w:rsidRPr="00A455FD">
              <w:rPr>
                <w:rFonts w:asciiTheme="minorHAnsi" w:hAnsiTheme="minorHAnsi" w:cstheme="minorHAnsi"/>
                <w:i/>
                <w:iCs/>
                <w:color w:val="000000"/>
                <w:sz w:val="12"/>
                <w:szCs w:val="12"/>
              </w:rPr>
              <w:t>(10)%</w:t>
            </w:r>
          </w:p>
        </w:tc>
        <w:tc>
          <w:tcPr>
            <w:tcW w:w="1416" w:type="dxa"/>
            <w:tcBorders>
              <w:left w:val="single" w:sz="4" w:space="0" w:color="auto"/>
              <w:right w:val="single" w:sz="4" w:space="0" w:color="auto"/>
            </w:tcBorders>
            <w:shd w:val="clear" w:color="auto" w:fill="auto"/>
            <w:vAlign w:val="center"/>
          </w:tcPr>
          <w:p w14:paraId="6DF7D030" w14:textId="77777777" w:rsidR="0044035E" w:rsidRPr="00A455FD" w:rsidRDefault="0044035E" w:rsidP="006A1A41">
            <w:pPr>
              <w:spacing w:line="276" w:lineRule="auto"/>
              <w:jc w:val="right"/>
              <w:outlineLvl w:val="0"/>
              <w:rPr>
                <w:rFonts w:asciiTheme="minorHAnsi" w:eastAsia="Times New Roman" w:hAnsiTheme="minorHAnsi" w:cstheme="minorHAnsi"/>
                <w:sz w:val="12"/>
                <w:szCs w:val="12"/>
                <w:lang w:eastAsia="en-GB"/>
              </w:rPr>
            </w:pPr>
            <w:r w:rsidRPr="00A455FD">
              <w:rPr>
                <w:rFonts w:asciiTheme="minorHAnsi" w:hAnsiTheme="minorHAnsi" w:cstheme="minorHAnsi"/>
                <w:i/>
                <w:iCs/>
                <w:color w:val="000000"/>
                <w:sz w:val="12"/>
                <w:szCs w:val="12"/>
              </w:rPr>
              <w:t>(11)%</w:t>
            </w:r>
          </w:p>
        </w:tc>
        <w:tc>
          <w:tcPr>
            <w:tcW w:w="1416" w:type="dxa"/>
            <w:tcBorders>
              <w:left w:val="single" w:sz="4" w:space="0" w:color="auto"/>
              <w:right w:val="single" w:sz="4" w:space="0" w:color="auto"/>
            </w:tcBorders>
            <w:shd w:val="clear" w:color="000000" w:fill="FFFFFF"/>
            <w:vAlign w:val="center"/>
          </w:tcPr>
          <w:p w14:paraId="56FAA803" w14:textId="77777777" w:rsidR="0044035E" w:rsidRPr="00A455FD" w:rsidRDefault="0044035E" w:rsidP="006A1A41">
            <w:pPr>
              <w:spacing w:line="276" w:lineRule="auto"/>
              <w:jc w:val="right"/>
              <w:outlineLvl w:val="0"/>
              <w:rPr>
                <w:rFonts w:asciiTheme="minorHAnsi" w:hAnsiTheme="minorHAnsi" w:cstheme="minorHAnsi"/>
                <w:sz w:val="12"/>
                <w:szCs w:val="12"/>
              </w:rPr>
            </w:pPr>
            <w:r w:rsidRPr="00A455FD">
              <w:rPr>
                <w:rFonts w:asciiTheme="minorHAnsi" w:hAnsiTheme="minorHAnsi" w:cstheme="minorHAnsi"/>
                <w:i/>
                <w:iCs/>
                <w:color w:val="000000"/>
                <w:sz w:val="12"/>
                <w:szCs w:val="12"/>
              </w:rPr>
              <w:t>(5)%</w:t>
            </w:r>
          </w:p>
        </w:tc>
        <w:tc>
          <w:tcPr>
            <w:tcW w:w="1416" w:type="dxa"/>
            <w:tcBorders>
              <w:left w:val="single" w:sz="4" w:space="0" w:color="auto"/>
            </w:tcBorders>
            <w:shd w:val="clear" w:color="000000" w:fill="FFFFFF"/>
            <w:vAlign w:val="center"/>
          </w:tcPr>
          <w:p w14:paraId="690C6E8D" w14:textId="77777777" w:rsidR="0044035E" w:rsidRPr="00A455FD" w:rsidRDefault="0044035E" w:rsidP="006A1A41">
            <w:pPr>
              <w:spacing w:line="276" w:lineRule="auto"/>
              <w:jc w:val="right"/>
              <w:outlineLvl w:val="0"/>
              <w:rPr>
                <w:rFonts w:asciiTheme="minorHAnsi" w:hAnsiTheme="minorHAnsi" w:cstheme="minorHAnsi"/>
                <w:sz w:val="12"/>
                <w:szCs w:val="12"/>
              </w:rPr>
            </w:pPr>
            <w:r w:rsidRPr="00A455FD">
              <w:rPr>
                <w:rFonts w:asciiTheme="minorHAnsi" w:hAnsiTheme="minorHAnsi" w:cstheme="minorHAnsi"/>
                <w:i/>
                <w:iCs/>
                <w:color w:val="000000"/>
                <w:sz w:val="12"/>
                <w:szCs w:val="12"/>
              </w:rPr>
              <w:t>(6)%</w:t>
            </w:r>
          </w:p>
        </w:tc>
      </w:tr>
      <w:tr w:rsidR="0044035E" w:rsidRPr="00CA4A72" w14:paraId="22199AA2" w14:textId="77777777" w:rsidTr="006A1A41">
        <w:trPr>
          <w:trHeight w:val="170"/>
        </w:trPr>
        <w:tc>
          <w:tcPr>
            <w:tcW w:w="3965" w:type="dxa"/>
            <w:tcBorders>
              <w:top w:val="nil"/>
              <w:bottom w:val="nil"/>
              <w:right w:val="single" w:sz="4" w:space="0" w:color="auto"/>
            </w:tcBorders>
            <w:shd w:val="clear" w:color="auto" w:fill="auto"/>
            <w:vAlign w:val="center"/>
          </w:tcPr>
          <w:p w14:paraId="40DA6859" w14:textId="77777777" w:rsidR="0044035E" w:rsidRPr="00CA4A72" w:rsidRDefault="0044035E" w:rsidP="006A1A41">
            <w:pPr>
              <w:spacing w:line="276" w:lineRule="auto"/>
              <w:ind w:firstLineChars="100" w:firstLine="120"/>
              <w:outlineLvl w:val="0"/>
              <w:rPr>
                <w:rFonts w:asciiTheme="minorHAnsi" w:hAnsiTheme="minorHAnsi" w:cstheme="minorHAnsi"/>
                <w:sz w:val="12"/>
                <w:szCs w:val="12"/>
                <w:highlight w:val="yellow"/>
              </w:rPr>
            </w:pPr>
            <w:r w:rsidRPr="009233D9">
              <w:rPr>
                <w:rFonts w:asciiTheme="minorHAnsi" w:hAnsiTheme="minorHAnsi" w:cstheme="minorHAnsi"/>
                <w:i/>
                <w:sz w:val="12"/>
                <w:szCs w:val="12"/>
              </w:rPr>
              <w:t>Of which ENOVIA</w:t>
            </w:r>
            <w:r>
              <w:rPr>
                <w:rFonts w:asciiTheme="minorHAnsi" w:hAnsiTheme="minorHAnsi" w:cstheme="minorHAnsi"/>
                <w:i/>
                <w:sz w:val="12"/>
                <w:szCs w:val="12"/>
              </w:rPr>
              <w:t xml:space="preserve"> </w:t>
            </w:r>
            <w:r w:rsidRPr="009233D9">
              <w:rPr>
                <w:rFonts w:asciiTheme="minorHAnsi" w:hAnsiTheme="minorHAnsi" w:cstheme="minorHAnsi"/>
                <w:i/>
                <w:sz w:val="12"/>
                <w:szCs w:val="12"/>
                <w:vertAlign w:val="superscript"/>
              </w:rPr>
              <w:t>(2)</w:t>
            </w:r>
          </w:p>
        </w:tc>
        <w:tc>
          <w:tcPr>
            <w:tcW w:w="1416" w:type="dxa"/>
            <w:tcBorders>
              <w:left w:val="single" w:sz="4" w:space="0" w:color="auto"/>
              <w:right w:val="single" w:sz="4" w:space="0" w:color="auto"/>
            </w:tcBorders>
            <w:shd w:val="clear" w:color="000000" w:fill="FFFFFF"/>
            <w:vAlign w:val="center"/>
          </w:tcPr>
          <w:p w14:paraId="15E1F999" w14:textId="77777777" w:rsidR="0044035E" w:rsidRPr="00A455FD" w:rsidRDefault="0044035E" w:rsidP="006A1A41">
            <w:pPr>
              <w:spacing w:line="276" w:lineRule="auto"/>
              <w:jc w:val="right"/>
              <w:outlineLvl w:val="0"/>
              <w:rPr>
                <w:rFonts w:asciiTheme="minorHAnsi" w:eastAsia="Times New Roman" w:hAnsiTheme="minorHAnsi" w:cstheme="minorHAnsi"/>
                <w:sz w:val="12"/>
                <w:szCs w:val="12"/>
                <w:lang w:eastAsia="en-GB"/>
              </w:rPr>
            </w:pPr>
            <w:r w:rsidRPr="00A455FD">
              <w:rPr>
                <w:rFonts w:asciiTheme="minorHAnsi" w:hAnsiTheme="minorHAnsi" w:cstheme="minorHAnsi"/>
                <w:i/>
                <w:iCs/>
                <w:color w:val="000000"/>
                <w:sz w:val="12"/>
                <w:szCs w:val="12"/>
              </w:rPr>
              <w:t>(11)%</w:t>
            </w:r>
          </w:p>
        </w:tc>
        <w:tc>
          <w:tcPr>
            <w:tcW w:w="1416" w:type="dxa"/>
            <w:tcBorders>
              <w:left w:val="single" w:sz="4" w:space="0" w:color="auto"/>
              <w:right w:val="single" w:sz="4" w:space="0" w:color="auto"/>
            </w:tcBorders>
            <w:shd w:val="clear" w:color="auto" w:fill="auto"/>
            <w:vAlign w:val="center"/>
          </w:tcPr>
          <w:p w14:paraId="19311F34" w14:textId="77777777" w:rsidR="0044035E" w:rsidRPr="00A455FD" w:rsidRDefault="0044035E" w:rsidP="006A1A41">
            <w:pPr>
              <w:spacing w:line="276" w:lineRule="auto"/>
              <w:jc w:val="right"/>
              <w:outlineLvl w:val="0"/>
              <w:rPr>
                <w:rFonts w:asciiTheme="minorHAnsi" w:eastAsia="Times New Roman" w:hAnsiTheme="minorHAnsi" w:cstheme="minorHAnsi"/>
                <w:sz w:val="12"/>
                <w:szCs w:val="12"/>
                <w:lang w:eastAsia="en-GB"/>
              </w:rPr>
            </w:pPr>
            <w:r w:rsidRPr="00A455FD">
              <w:rPr>
                <w:rFonts w:asciiTheme="minorHAnsi" w:hAnsiTheme="minorHAnsi" w:cstheme="minorHAnsi"/>
                <w:i/>
                <w:iCs/>
                <w:color w:val="000000"/>
                <w:sz w:val="12"/>
                <w:szCs w:val="12"/>
              </w:rPr>
              <w:t>(11)%</w:t>
            </w:r>
          </w:p>
        </w:tc>
        <w:tc>
          <w:tcPr>
            <w:tcW w:w="1416" w:type="dxa"/>
            <w:tcBorders>
              <w:left w:val="single" w:sz="4" w:space="0" w:color="auto"/>
              <w:right w:val="single" w:sz="4" w:space="0" w:color="auto"/>
            </w:tcBorders>
            <w:shd w:val="clear" w:color="000000" w:fill="FFFFFF"/>
            <w:vAlign w:val="center"/>
          </w:tcPr>
          <w:p w14:paraId="0C86BF59" w14:textId="77777777" w:rsidR="0044035E" w:rsidRPr="00A455FD" w:rsidRDefault="0044035E" w:rsidP="006A1A41">
            <w:pPr>
              <w:spacing w:line="276" w:lineRule="auto"/>
              <w:jc w:val="right"/>
              <w:outlineLvl w:val="0"/>
              <w:rPr>
                <w:rFonts w:asciiTheme="minorHAnsi" w:hAnsiTheme="minorHAnsi" w:cstheme="minorHAnsi"/>
                <w:sz w:val="12"/>
                <w:szCs w:val="12"/>
              </w:rPr>
            </w:pPr>
            <w:r w:rsidRPr="00A455FD">
              <w:rPr>
                <w:rFonts w:asciiTheme="minorHAnsi" w:hAnsiTheme="minorHAnsi" w:cstheme="minorHAnsi"/>
                <w:i/>
                <w:iCs/>
                <w:color w:val="000000"/>
                <w:sz w:val="12"/>
                <w:szCs w:val="12"/>
              </w:rPr>
              <w:t>(10)%</w:t>
            </w:r>
          </w:p>
        </w:tc>
        <w:tc>
          <w:tcPr>
            <w:tcW w:w="1416" w:type="dxa"/>
            <w:tcBorders>
              <w:left w:val="single" w:sz="4" w:space="0" w:color="auto"/>
            </w:tcBorders>
            <w:shd w:val="clear" w:color="000000" w:fill="FFFFFF"/>
            <w:vAlign w:val="center"/>
          </w:tcPr>
          <w:p w14:paraId="28676850" w14:textId="77777777" w:rsidR="0044035E" w:rsidRPr="00A455FD" w:rsidRDefault="0044035E" w:rsidP="006A1A41">
            <w:pPr>
              <w:spacing w:line="276" w:lineRule="auto"/>
              <w:jc w:val="right"/>
              <w:outlineLvl w:val="0"/>
              <w:rPr>
                <w:rFonts w:asciiTheme="minorHAnsi" w:hAnsiTheme="minorHAnsi" w:cstheme="minorHAnsi"/>
                <w:sz w:val="12"/>
                <w:szCs w:val="12"/>
              </w:rPr>
            </w:pPr>
            <w:r w:rsidRPr="00A455FD">
              <w:rPr>
                <w:rFonts w:asciiTheme="minorHAnsi" w:hAnsiTheme="minorHAnsi" w:cstheme="minorHAnsi"/>
                <w:i/>
                <w:iCs/>
                <w:color w:val="000000"/>
                <w:sz w:val="12"/>
                <w:szCs w:val="12"/>
              </w:rPr>
              <w:t>(11)%</w:t>
            </w:r>
          </w:p>
        </w:tc>
      </w:tr>
      <w:tr w:rsidR="0044035E" w:rsidRPr="00CA4A72" w14:paraId="0BD37401" w14:textId="77777777" w:rsidTr="006A1A41">
        <w:trPr>
          <w:trHeight w:val="170"/>
        </w:trPr>
        <w:tc>
          <w:tcPr>
            <w:tcW w:w="3965" w:type="dxa"/>
            <w:tcBorders>
              <w:top w:val="nil"/>
              <w:bottom w:val="nil"/>
              <w:right w:val="single" w:sz="4" w:space="0" w:color="auto"/>
            </w:tcBorders>
            <w:shd w:val="clear" w:color="auto" w:fill="auto"/>
            <w:vAlign w:val="center"/>
          </w:tcPr>
          <w:p w14:paraId="4B4DFCF6" w14:textId="77777777" w:rsidR="0044035E" w:rsidRPr="00CA4A72" w:rsidRDefault="0044035E" w:rsidP="006A1A41">
            <w:pPr>
              <w:spacing w:line="276" w:lineRule="auto"/>
              <w:outlineLvl w:val="0"/>
              <w:rPr>
                <w:rFonts w:asciiTheme="minorHAnsi" w:hAnsiTheme="minorHAnsi" w:cstheme="minorHAnsi"/>
                <w:sz w:val="12"/>
                <w:szCs w:val="12"/>
              </w:rPr>
            </w:pPr>
            <w:r>
              <w:rPr>
                <w:rFonts w:asciiTheme="minorHAnsi" w:hAnsiTheme="minorHAnsi" w:cstheme="minorHAnsi"/>
                <w:sz w:val="12"/>
                <w:szCs w:val="12"/>
              </w:rPr>
              <w:t xml:space="preserve">Life Sciences </w:t>
            </w:r>
            <w:r w:rsidRPr="009233D9">
              <w:rPr>
                <w:rFonts w:asciiTheme="minorHAnsi" w:hAnsiTheme="minorHAnsi" w:cstheme="minorHAnsi"/>
                <w:sz w:val="12"/>
                <w:szCs w:val="12"/>
                <w:vertAlign w:val="superscript"/>
              </w:rPr>
              <w:t>(3)</w:t>
            </w:r>
          </w:p>
        </w:tc>
        <w:tc>
          <w:tcPr>
            <w:tcW w:w="1416" w:type="dxa"/>
            <w:tcBorders>
              <w:left w:val="single" w:sz="4" w:space="0" w:color="auto"/>
              <w:right w:val="single" w:sz="4" w:space="0" w:color="auto"/>
            </w:tcBorders>
            <w:shd w:val="clear" w:color="000000" w:fill="FFFFFF"/>
            <w:vAlign w:val="center"/>
          </w:tcPr>
          <w:p w14:paraId="09EE477B" w14:textId="77777777" w:rsidR="0044035E" w:rsidRPr="00A455FD" w:rsidRDefault="0044035E" w:rsidP="006A1A41">
            <w:pPr>
              <w:spacing w:line="276" w:lineRule="auto"/>
              <w:jc w:val="right"/>
              <w:outlineLvl w:val="0"/>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536%</w:t>
            </w:r>
          </w:p>
        </w:tc>
        <w:tc>
          <w:tcPr>
            <w:tcW w:w="1416" w:type="dxa"/>
            <w:tcBorders>
              <w:left w:val="single" w:sz="4" w:space="0" w:color="auto"/>
              <w:right w:val="single" w:sz="4" w:space="0" w:color="auto"/>
            </w:tcBorders>
            <w:shd w:val="clear" w:color="auto" w:fill="auto"/>
            <w:vAlign w:val="center"/>
          </w:tcPr>
          <w:p w14:paraId="1538F28F" w14:textId="77777777" w:rsidR="0044035E" w:rsidRPr="00A455FD" w:rsidRDefault="0044035E" w:rsidP="006A1A41">
            <w:pPr>
              <w:spacing w:line="276" w:lineRule="auto"/>
              <w:jc w:val="right"/>
              <w:outlineLvl w:val="0"/>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526%</w:t>
            </w:r>
          </w:p>
        </w:tc>
        <w:tc>
          <w:tcPr>
            <w:tcW w:w="1416" w:type="dxa"/>
            <w:tcBorders>
              <w:left w:val="single" w:sz="4" w:space="0" w:color="auto"/>
              <w:right w:val="single" w:sz="4" w:space="0" w:color="auto"/>
            </w:tcBorders>
            <w:shd w:val="clear" w:color="000000" w:fill="FFFFFF"/>
            <w:vAlign w:val="center"/>
          </w:tcPr>
          <w:p w14:paraId="44BE0641" w14:textId="77777777" w:rsidR="0044035E" w:rsidRPr="00A455FD" w:rsidRDefault="0044035E" w:rsidP="006A1A41">
            <w:pPr>
              <w:spacing w:line="276" w:lineRule="auto"/>
              <w:jc w:val="right"/>
              <w:outlineLvl w:val="0"/>
              <w:rPr>
                <w:rFonts w:asciiTheme="minorHAnsi" w:hAnsiTheme="minorHAnsi" w:cstheme="minorHAnsi"/>
                <w:sz w:val="12"/>
                <w:szCs w:val="12"/>
              </w:rPr>
            </w:pPr>
            <w:r w:rsidRPr="00A455FD">
              <w:rPr>
                <w:rFonts w:asciiTheme="minorHAnsi" w:hAnsiTheme="minorHAnsi" w:cstheme="minorHAnsi"/>
                <w:color w:val="000000"/>
                <w:sz w:val="12"/>
                <w:szCs w:val="12"/>
              </w:rPr>
              <w:t>448%</w:t>
            </w:r>
          </w:p>
        </w:tc>
        <w:tc>
          <w:tcPr>
            <w:tcW w:w="1416" w:type="dxa"/>
            <w:tcBorders>
              <w:left w:val="single" w:sz="4" w:space="0" w:color="auto"/>
            </w:tcBorders>
            <w:shd w:val="clear" w:color="000000" w:fill="FFFFFF"/>
            <w:vAlign w:val="center"/>
          </w:tcPr>
          <w:p w14:paraId="4902CF31" w14:textId="77777777" w:rsidR="0044035E" w:rsidRPr="00A455FD" w:rsidRDefault="0044035E" w:rsidP="006A1A41">
            <w:pPr>
              <w:spacing w:line="276" w:lineRule="auto"/>
              <w:jc w:val="right"/>
              <w:outlineLvl w:val="0"/>
              <w:rPr>
                <w:rFonts w:asciiTheme="minorHAnsi" w:hAnsiTheme="minorHAnsi" w:cstheme="minorHAnsi"/>
                <w:sz w:val="12"/>
                <w:szCs w:val="12"/>
              </w:rPr>
            </w:pPr>
            <w:r w:rsidRPr="00A455FD">
              <w:rPr>
                <w:rFonts w:asciiTheme="minorHAnsi" w:hAnsiTheme="minorHAnsi" w:cstheme="minorHAnsi"/>
                <w:color w:val="000000"/>
                <w:sz w:val="12"/>
                <w:szCs w:val="12"/>
              </w:rPr>
              <w:t>437%</w:t>
            </w:r>
          </w:p>
        </w:tc>
      </w:tr>
      <w:tr w:rsidR="0044035E" w:rsidRPr="00CA4A72" w14:paraId="1E0EFBED" w14:textId="77777777" w:rsidTr="006A1A41">
        <w:trPr>
          <w:trHeight w:val="170"/>
        </w:trPr>
        <w:tc>
          <w:tcPr>
            <w:tcW w:w="3965" w:type="dxa"/>
            <w:tcBorders>
              <w:top w:val="nil"/>
              <w:bottom w:val="nil"/>
              <w:right w:val="single" w:sz="4" w:space="0" w:color="auto"/>
            </w:tcBorders>
            <w:shd w:val="clear" w:color="auto" w:fill="auto"/>
            <w:vAlign w:val="center"/>
            <w:hideMark/>
          </w:tcPr>
          <w:p w14:paraId="4A15FEBD" w14:textId="77777777" w:rsidR="0044035E" w:rsidRPr="00CA4A72" w:rsidRDefault="0044035E" w:rsidP="006A1A41">
            <w:pPr>
              <w:spacing w:line="276" w:lineRule="auto"/>
              <w:outlineLvl w:val="0"/>
              <w:rPr>
                <w:rFonts w:asciiTheme="minorHAnsi" w:eastAsia="Times New Roman" w:hAnsiTheme="minorHAnsi" w:cstheme="minorHAnsi"/>
                <w:sz w:val="12"/>
                <w:szCs w:val="12"/>
                <w:lang w:eastAsia="en-GB"/>
              </w:rPr>
            </w:pPr>
            <w:r>
              <w:rPr>
                <w:rFonts w:asciiTheme="minorHAnsi" w:hAnsiTheme="minorHAnsi" w:cstheme="minorHAnsi"/>
                <w:sz w:val="12"/>
                <w:szCs w:val="12"/>
              </w:rPr>
              <w:t>Mainstream Innovation</w:t>
            </w:r>
          </w:p>
        </w:tc>
        <w:tc>
          <w:tcPr>
            <w:tcW w:w="1416" w:type="dxa"/>
            <w:tcBorders>
              <w:left w:val="single" w:sz="4" w:space="0" w:color="auto"/>
              <w:right w:val="single" w:sz="4" w:space="0" w:color="auto"/>
            </w:tcBorders>
            <w:shd w:val="clear" w:color="000000" w:fill="FFFFFF"/>
            <w:vAlign w:val="center"/>
          </w:tcPr>
          <w:p w14:paraId="48DA713A" w14:textId="77777777" w:rsidR="0044035E" w:rsidRPr="00A455FD" w:rsidRDefault="0044035E" w:rsidP="006A1A41">
            <w:pPr>
              <w:spacing w:line="276" w:lineRule="auto"/>
              <w:jc w:val="right"/>
              <w:outlineLvl w:val="0"/>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0%</w:t>
            </w:r>
          </w:p>
        </w:tc>
        <w:tc>
          <w:tcPr>
            <w:tcW w:w="1416" w:type="dxa"/>
            <w:tcBorders>
              <w:left w:val="single" w:sz="4" w:space="0" w:color="auto"/>
              <w:right w:val="single" w:sz="4" w:space="0" w:color="auto"/>
            </w:tcBorders>
            <w:shd w:val="clear" w:color="auto" w:fill="auto"/>
            <w:vAlign w:val="center"/>
          </w:tcPr>
          <w:p w14:paraId="7F368C5E" w14:textId="77777777" w:rsidR="0044035E" w:rsidRPr="00A455FD" w:rsidRDefault="0044035E" w:rsidP="006A1A41">
            <w:pPr>
              <w:spacing w:line="276" w:lineRule="auto"/>
              <w:jc w:val="right"/>
              <w:outlineLvl w:val="0"/>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w:t>
            </w:r>
          </w:p>
        </w:tc>
        <w:tc>
          <w:tcPr>
            <w:tcW w:w="1416" w:type="dxa"/>
            <w:tcBorders>
              <w:left w:val="single" w:sz="4" w:space="0" w:color="auto"/>
              <w:right w:val="single" w:sz="4" w:space="0" w:color="auto"/>
            </w:tcBorders>
            <w:shd w:val="clear" w:color="000000" w:fill="FFFFFF"/>
            <w:vAlign w:val="center"/>
          </w:tcPr>
          <w:p w14:paraId="6AB3EB3B" w14:textId="77777777" w:rsidR="0044035E" w:rsidRPr="00A455FD" w:rsidRDefault="0044035E" w:rsidP="006A1A41">
            <w:pPr>
              <w:spacing w:line="276" w:lineRule="auto"/>
              <w:jc w:val="right"/>
              <w:outlineLvl w:val="0"/>
              <w:rPr>
                <w:rFonts w:asciiTheme="minorHAnsi" w:hAnsiTheme="minorHAnsi" w:cstheme="minorHAnsi"/>
                <w:sz w:val="12"/>
                <w:szCs w:val="12"/>
              </w:rPr>
            </w:pPr>
            <w:r w:rsidRPr="00A455FD">
              <w:rPr>
                <w:rFonts w:asciiTheme="minorHAnsi" w:hAnsiTheme="minorHAnsi" w:cstheme="minorHAnsi"/>
                <w:color w:val="000000"/>
                <w:sz w:val="12"/>
                <w:szCs w:val="12"/>
              </w:rPr>
              <w:t>3%</w:t>
            </w:r>
          </w:p>
        </w:tc>
        <w:tc>
          <w:tcPr>
            <w:tcW w:w="1416" w:type="dxa"/>
            <w:tcBorders>
              <w:left w:val="single" w:sz="4" w:space="0" w:color="auto"/>
            </w:tcBorders>
            <w:shd w:val="clear" w:color="000000" w:fill="FFFFFF"/>
            <w:vAlign w:val="center"/>
          </w:tcPr>
          <w:p w14:paraId="135424A8" w14:textId="77777777" w:rsidR="0044035E" w:rsidRPr="00A455FD" w:rsidRDefault="0044035E" w:rsidP="006A1A41">
            <w:pPr>
              <w:spacing w:line="276" w:lineRule="auto"/>
              <w:jc w:val="right"/>
              <w:outlineLvl w:val="0"/>
              <w:rPr>
                <w:rFonts w:asciiTheme="minorHAnsi" w:hAnsiTheme="minorHAnsi" w:cstheme="minorHAnsi"/>
                <w:sz w:val="12"/>
                <w:szCs w:val="12"/>
              </w:rPr>
            </w:pPr>
            <w:r w:rsidRPr="00A455FD">
              <w:rPr>
                <w:rFonts w:asciiTheme="minorHAnsi" w:hAnsiTheme="minorHAnsi" w:cstheme="minorHAnsi"/>
                <w:color w:val="000000"/>
                <w:sz w:val="12"/>
                <w:szCs w:val="12"/>
              </w:rPr>
              <w:t>1%</w:t>
            </w:r>
          </w:p>
        </w:tc>
      </w:tr>
      <w:tr w:rsidR="0044035E" w:rsidRPr="00CA4A72" w14:paraId="7A82E3B1" w14:textId="77777777" w:rsidTr="006A1A41">
        <w:trPr>
          <w:trHeight w:val="170"/>
        </w:trPr>
        <w:tc>
          <w:tcPr>
            <w:tcW w:w="3965" w:type="dxa"/>
            <w:tcBorders>
              <w:top w:val="nil"/>
              <w:bottom w:val="nil"/>
              <w:right w:val="single" w:sz="4" w:space="0" w:color="auto"/>
            </w:tcBorders>
            <w:shd w:val="clear" w:color="auto" w:fill="auto"/>
            <w:vAlign w:val="center"/>
          </w:tcPr>
          <w:p w14:paraId="3FE38418" w14:textId="77777777" w:rsidR="0044035E" w:rsidRPr="00CA4A72" w:rsidRDefault="0044035E" w:rsidP="006A1A41">
            <w:pPr>
              <w:spacing w:line="276" w:lineRule="auto"/>
              <w:ind w:firstLineChars="100" w:firstLine="120"/>
              <w:outlineLvl w:val="0"/>
              <w:rPr>
                <w:rFonts w:asciiTheme="minorHAnsi" w:hAnsiTheme="minorHAnsi" w:cstheme="minorHAnsi"/>
                <w:sz w:val="12"/>
                <w:szCs w:val="12"/>
                <w:highlight w:val="yellow"/>
              </w:rPr>
            </w:pPr>
            <w:r w:rsidRPr="009233D9">
              <w:rPr>
                <w:rFonts w:asciiTheme="minorHAnsi" w:hAnsiTheme="minorHAnsi" w:cstheme="minorHAnsi"/>
                <w:i/>
                <w:sz w:val="12"/>
                <w:szCs w:val="12"/>
              </w:rPr>
              <w:t>Of which SOLIDWORKS</w:t>
            </w:r>
          </w:p>
        </w:tc>
        <w:tc>
          <w:tcPr>
            <w:tcW w:w="1416" w:type="dxa"/>
            <w:tcBorders>
              <w:left w:val="single" w:sz="4" w:space="0" w:color="auto"/>
              <w:right w:val="single" w:sz="4" w:space="0" w:color="auto"/>
            </w:tcBorders>
            <w:shd w:val="clear" w:color="000000" w:fill="FFFFFF"/>
            <w:vAlign w:val="center"/>
          </w:tcPr>
          <w:p w14:paraId="164F741F" w14:textId="77777777" w:rsidR="0044035E" w:rsidRPr="00A455FD" w:rsidRDefault="0044035E" w:rsidP="006A1A41">
            <w:pPr>
              <w:spacing w:line="276" w:lineRule="auto"/>
              <w:jc w:val="right"/>
              <w:outlineLvl w:val="0"/>
              <w:rPr>
                <w:rFonts w:asciiTheme="minorHAnsi" w:eastAsia="Times New Roman" w:hAnsiTheme="minorHAnsi" w:cstheme="minorHAnsi"/>
                <w:sz w:val="12"/>
                <w:szCs w:val="12"/>
                <w:lang w:eastAsia="en-GB"/>
              </w:rPr>
            </w:pPr>
            <w:r w:rsidRPr="00A455FD">
              <w:rPr>
                <w:rFonts w:asciiTheme="minorHAnsi" w:hAnsiTheme="minorHAnsi" w:cstheme="minorHAnsi"/>
                <w:i/>
                <w:iCs/>
                <w:color w:val="000000"/>
                <w:sz w:val="12"/>
                <w:szCs w:val="12"/>
              </w:rPr>
              <w:t>(2)%</w:t>
            </w:r>
          </w:p>
        </w:tc>
        <w:tc>
          <w:tcPr>
            <w:tcW w:w="1416" w:type="dxa"/>
            <w:tcBorders>
              <w:left w:val="single" w:sz="4" w:space="0" w:color="auto"/>
              <w:right w:val="single" w:sz="4" w:space="0" w:color="auto"/>
            </w:tcBorders>
            <w:shd w:val="clear" w:color="auto" w:fill="auto"/>
            <w:vAlign w:val="center"/>
          </w:tcPr>
          <w:p w14:paraId="01269638" w14:textId="77777777" w:rsidR="0044035E" w:rsidRPr="00A455FD" w:rsidRDefault="0044035E" w:rsidP="006A1A41">
            <w:pPr>
              <w:spacing w:line="276" w:lineRule="auto"/>
              <w:jc w:val="right"/>
              <w:outlineLvl w:val="0"/>
              <w:rPr>
                <w:rFonts w:asciiTheme="minorHAnsi" w:eastAsia="Times New Roman" w:hAnsiTheme="minorHAnsi" w:cstheme="minorHAnsi"/>
                <w:sz w:val="12"/>
                <w:szCs w:val="12"/>
                <w:lang w:eastAsia="en-GB"/>
              </w:rPr>
            </w:pPr>
            <w:r w:rsidRPr="00A455FD">
              <w:rPr>
                <w:rFonts w:asciiTheme="minorHAnsi" w:hAnsiTheme="minorHAnsi" w:cstheme="minorHAnsi"/>
                <w:i/>
                <w:iCs/>
                <w:color w:val="000000"/>
                <w:sz w:val="12"/>
                <w:szCs w:val="12"/>
              </w:rPr>
              <w:t>(3)%</w:t>
            </w:r>
          </w:p>
        </w:tc>
        <w:tc>
          <w:tcPr>
            <w:tcW w:w="1416" w:type="dxa"/>
            <w:tcBorders>
              <w:left w:val="single" w:sz="4" w:space="0" w:color="auto"/>
              <w:right w:val="single" w:sz="4" w:space="0" w:color="auto"/>
            </w:tcBorders>
            <w:shd w:val="clear" w:color="000000" w:fill="FFFFFF"/>
            <w:vAlign w:val="center"/>
          </w:tcPr>
          <w:p w14:paraId="405D845D" w14:textId="77777777" w:rsidR="0044035E" w:rsidRPr="00A455FD" w:rsidRDefault="0044035E" w:rsidP="006A1A41">
            <w:pPr>
              <w:spacing w:line="276" w:lineRule="auto"/>
              <w:jc w:val="right"/>
              <w:outlineLvl w:val="0"/>
              <w:rPr>
                <w:rFonts w:asciiTheme="minorHAnsi" w:hAnsiTheme="minorHAnsi" w:cstheme="minorHAnsi"/>
                <w:sz w:val="12"/>
                <w:szCs w:val="12"/>
              </w:rPr>
            </w:pPr>
            <w:r w:rsidRPr="00A455FD">
              <w:rPr>
                <w:rFonts w:asciiTheme="minorHAnsi" w:hAnsiTheme="minorHAnsi" w:cstheme="minorHAnsi"/>
                <w:i/>
                <w:iCs/>
                <w:color w:val="000000"/>
                <w:sz w:val="12"/>
                <w:szCs w:val="12"/>
              </w:rPr>
              <w:t>1%</w:t>
            </w:r>
          </w:p>
        </w:tc>
        <w:tc>
          <w:tcPr>
            <w:tcW w:w="1416" w:type="dxa"/>
            <w:tcBorders>
              <w:left w:val="single" w:sz="4" w:space="0" w:color="auto"/>
            </w:tcBorders>
            <w:shd w:val="clear" w:color="000000" w:fill="FFFFFF"/>
            <w:vAlign w:val="center"/>
          </w:tcPr>
          <w:p w14:paraId="5EABA918" w14:textId="77777777" w:rsidR="0044035E" w:rsidRPr="00A455FD" w:rsidRDefault="0044035E" w:rsidP="006A1A41">
            <w:pPr>
              <w:spacing w:line="276" w:lineRule="auto"/>
              <w:jc w:val="right"/>
              <w:outlineLvl w:val="0"/>
              <w:rPr>
                <w:rFonts w:asciiTheme="minorHAnsi" w:hAnsiTheme="minorHAnsi" w:cstheme="minorHAnsi"/>
                <w:sz w:val="12"/>
                <w:szCs w:val="12"/>
              </w:rPr>
            </w:pPr>
            <w:r w:rsidRPr="00A455FD">
              <w:rPr>
                <w:rFonts w:asciiTheme="minorHAnsi" w:hAnsiTheme="minorHAnsi" w:cstheme="minorHAnsi"/>
                <w:i/>
                <w:iCs/>
                <w:color w:val="000000"/>
                <w:sz w:val="12"/>
                <w:szCs w:val="12"/>
              </w:rPr>
              <w:t>(0)%</w:t>
            </w:r>
          </w:p>
        </w:tc>
      </w:tr>
      <w:tr w:rsidR="0044035E" w:rsidRPr="00CA4A72" w14:paraId="462ADE3B" w14:textId="77777777" w:rsidTr="006A1A41">
        <w:trPr>
          <w:trHeight w:val="170"/>
        </w:trPr>
        <w:tc>
          <w:tcPr>
            <w:tcW w:w="3965" w:type="dxa"/>
            <w:tcBorders>
              <w:top w:val="nil"/>
              <w:bottom w:val="nil"/>
              <w:right w:val="single" w:sz="4" w:space="0" w:color="auto"/>
            </w:tcBorders>
            <w:shd w:val="clear" w:color="auto" w:fill="auto"/>
            <w:vAlign w:val="center"/>
            <w:hideMark/>
          </w:tcPr>
          <w:p w14:paraId="0A6605AD" w14:textId="77777777" w:rsidR="0044035E" w:rsidRPr="00CA4A72" w:rsidRDefault="0044035E" w:rsidP="006A1A41">
            <w:pPr>
              <w:spacing w:line="276" w:lineRule="auto"/>
              <w:outlineLvl w:val="0"/>
              <w:rPr>
                <w:rFonts w:asciiTheme="minorHAnsi" w:eastAsia="Times New Roman" w:hAnsiTheme="minorHAnsi" w:cstheme="minorHAnsi"/>
                <w:b/>
                <w:bCs/>
                <w:sz w:val="12"/>
                <w:szCs w:val="12"/>
                <w:lang w:eastAsia="en-GB"/>
              </w:rPr>
            </w:pPr>
            <w:r w:rsidRPr="00CA4A72">
              <w:rPr>
                <w:rFonts w:asciiTheme="minorHAnsi" w:hAnsiTheme="minorHAnsi" w:cstheme="minorHAnsi"/>
                <w:b/>
                <w:bCs/>
                <w:sz w:val="12"/>
                <w:szCs w:val="12"/>
              </w:rPr>
              <w:t>Revenue by geography</w:t>
            </w:r>
          </w:p>
        </w:tc>
        <w:tc>
          <w:tcPr>
            <w:tcW w:w="1416" w:type="dxa"/>
            <w:tcBorders>
              <w:left w:val="single" w:sz="4" w:space="0" w:color="auto"/>
              <w:right w:val="single" w:sz="4" w:space="0" w:color="auto"/>
            </w:tcBorders>
            <w:shd w:val="clear" w:color="000000" w:fill="FFFFFF"/>
            <w:vAlign w:val="center"/>
          </w:tcPr>
          <w:p w14:paraId="06F46171" w14:textId="77777777" w:rsidR="0044035E" w:rsidRPr="00A455FD" w:rsidRDefault="0044035E" w:rsidP="006A1A41">
            <w:pPr>
              <w:spacing w:line="276" w:lineRule="auto"/>
              <w:jc w:val="right"/>
              <w:outlineLvl w:val="0"/>
              <w:rPr>
                <w:rFonts w:asciiTheme="minorHAnsi" w:eastAsia="Times New Roman" w:hAnsiTheme="minorHAnsi" w:cstheme="minorHAnsi"/>
                <w:color w:val="000000"/>
                <w:sz w:val="12"/>
                <w:szCs w:val="12"/>
                <w:lang w:eastAsia="en-GB"/>
              </w:rPr>
            </w:pPr>
          </w:p>
        </w:tc>
        <w:tc>
          <w:tcPr>
            <w:tcW w:w="1416" w:type="dxa"/>
            <w:tcBorders>
              <w:left w:val="single" w:sz="4" w:space="0" w:color="auto"/>
              <w:right w:val="single" w:sz="4" w:space="0" w:color="auto"/>
            </w:tcBorders>
            <w:shd w:val="clear" w:color="auto" w:fill="auto"/>
            <w:vAlign w:val="center"/>
          </w:tcPr>
          <w:p w14:paraId="684AEA3D" w14:textId="77777777" w:rsidR="0044035E" w:rsidRPr="00A455FD" w:rsidRDefault="0044035E" w:rsidP="006A1A41">
            <w:pPr>
              <w:spacing w:line="276" w:lineRule="auto"/>
              <w:jc w:val="right"/>
              <w:outlineLvl w:val="0"/>
              <w:rPr>
                <w:rFonts w:asciiTheme="minorHAnsi" w:eastAsia="Times New Roman" w:hAnsiTheme="minorHAnsi" w:cstheme="minorHAnsi"/>
                <w:color w:val="000000"/>
                <w:sz w:val="12"/>
                <w:szCs w:val="12"/>
                <w:lang w:eastAsia="en-GB"/>
              </w:rPr>
            </w:pPr>
          </w:p>
        </w:tc>
        <w:tc>
          <w:tcPr>
            <w:tcW w:w="1416" w:type="dxa"/>
            <w:tcBorders>
              <w:left w:val="single" w:sz="4" w:space="0" w:color="auto"/>
              <w:right w:val="single" w:sz="4" w:space="0" w:color="auto"/>
            </w:tcBorders>
            <w:shd w:val="clear" w:color="000000" w:fill="FFFFFF"/>
            <w:vAlign w:val="center"/>
          </w:tcPr>
          <w:p w14:paraId="1D091D39" w14:textId="77777777" w:rsidR="0044035E" w:rsidRPr="00A455FD" w:rsidRDefault="0044035E" w:rsidP="006A1A41">
            <w:pPr>
              <w:spacing w:line="276" w:lineRule="auto"/>
              <w:jc w:val="right"/>
              <w:outlineLvl w:val="0"/>
              <w:rPr>
                <w:rFonts w:asciiTheme="minorHAnsi" w:hAnsiTheme="minorHAnsi" w:cstheme="minorHAnsi"/>
                <w:color w:val="000000"/>
                <w:sz w:val="12"/>
                <w:szCs w:val="12"/>
              </w:rPr>
            </w:pPr>
          </w:p>
        </w:tc>
        <w:tc>
          <w:tcPr>
            <w:tcW w:w="1416" w:type="dxa"/>
            <w:tcBorders>
              <w:left w:val="single" w:sz="4" w:space="0" w:color="auto"/>
            </w:tcBorders>
            <w:shd w:val="clear" w:color="000000" w:fill="FFFFFF"/>
            <w:vAlign w:val="center"/>
          </w:tcPr>
          <w:p w14:paraId="01B2DF3D" w14:textId="77777777" w:rsidR="0044035E" w:rsidRPr="00A455FD" w:rsidRDefault="0044035E" w:rsidP="006A1A41">
            <w:pPr>
              <w:spacing w:line="276" w:lineRule="auto"/>
              <w:jc w:val="right"/>
              <w:outlineLvl w:val="0"/>
              <w:rPr>
                <w:rFonts w:asciiTheme="minorHAnsi" w:hAnsiTheme="minorHAnsi" w:cstheme="minorHAnsi"/>
                <w:color w:val="000000"/>
                <w:sz w:val="12"/>
                <w:szCs w:val="12"/>
              </w:rPr>
            </w:pPr>
          </w:p>
        </w:tc>
      </w:tr>
      <w:tr w:rsidR="0044035E" w:rsidRPr="00CA4A72" w14:paraId="591C1FDC" w14:textId="77777777" w:rsidTr="006A1A41">
        <w:trPr>
          <w:trHeight w:val="170"/>
        </w:trPr>
        <w:tc>
          <w:tcPr>
            <w:tcW w:w="3965" w:type="dxa"/>
            <w:tcBorders>
              <w:top w:val="nil"/>
              <w:bottom w:val="nil"/>
              <w:right w:val="single" w:sz="4" w:space="0" w:color="auto"/>
            </w:tcBorders>
            <w:shd w:val="clear" w:color="auto" w:fill="auto"/>
            <w:vAlign w:val="center"/>
            <w:hideMark/>
          </w:tcPr>
          <w:p w14:paraId="759C6AAE" w14:textId="77777777" w:rsidR="0044035E" w:rsidRPr="00CA4A72" w:rsidRDefault="0044035E" w:rsidP="006A1A41">
            <w:pPr>
              <w:spacing w:line="276" w:lineRule="auto"/>
              <w:outlineLvl w:val="0"/>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Americas</w:t>
            </w:r>
          </w:p>
        </w:tc>
        <w:tc>
          <w:tcPr>
            <w:tcW w:w="1416" w:type="dxa"/>
            <w:tcBorders>
              <w:left w:val="single" w:sz="4" w:space="0" w:color="auto"/>
              <w:right w:val="single" w:sz="4" w:space="0" w:color="auto"/>
            </w:tcBorders>
            <w:shd w:val="clear" w:color="000000" w:fill="FFFFFF"/>
            <w:vAlign w:val="center"/>
          </w:tcPr>
          <w:p w14:paraId="0CB57F9D" w14:textId="77777777" w:rsidR="0044035E" w:rsidRPr="00A455FD" w:rsidRDefault="0044035E" w:rsidP="006A1A41">
            <w:pPr>
              <w:spacing w:line="276" w:lineRule="auto"/>
              <w:jc w:val="right"/>
              <w:outlineLvl w:val="0"/>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39%</w:t>
            </w:r>
          </w:p>
        </w:tc>
        <w:tc>
          <w:tcPr>
            <w:tcW w:w="1416" w:type="dxa"/>
            <w:tcBorders>
              <w:left w:val="single" w:sz="4" w:space="0" w:color="auto"/>
              <w:right w:val="single" w:sz="4" w:space="0" w:color="auto"/>
            </w:tcBorders>
            <w:shd w:val="clear" w:color="auto" w:fill="auto"/>
            <w:vAlign w:val="center"/>
          </w:tcPr>
          <w:p w14:paraId="29ED5AD1" w14:textId="77777777" w:rsidR="0044035E" w:rsidRPr="00A455FD" w:rsidRDefault="0044035E" w:rsidP="006A1A41">
            <w:pPr>
              <w:spacing w:line="276" w:lineRule="auto"/>
              <w:jc w:val="right"/>
              <w:outlineLvl w:val="0"/>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37%</w:t>
            </w:r>
          </w:p>
        </w:tc>
        <w:tc>
          <w:tcPr>
            <w:tcW w:w="1416" w:type="dxa"/>
            <w:tcBorders>
              <w:left w:val="single" w:sz="4" w:space="0" w:color="auto"/>
              <w:right w:val="single" w:sz="4" w:space="0" w:color="auto"/>
            </w:tcBorders>
            <w:shd w:val="clear" w:color="000000" w:fill="FFFFFF"/>
            <w:vAlign w:val="center"/>
          </w:tcPr>
          <w:p w14:paraId="11C1C0EC" w14:textId="77777777" w:rsidR="0044035E" w:rsidRPr="00A455FD" w:rsidRDefault="0044035E" w:rsidP="006A1A41">
            <w:pPr>
              <w:spacing w:line="276" w:lineRule="auto"/>
              <w:jc w:val="right"/>
              <w:outlineLvl w:val="0"/>
              <w:rPr>
                <w:rFonts w:asciiTheme="minorHAnsi" w:hAnsiTheme="minorHAnsi" w:cstheme="minorHAnsi"/>
                <w:sz w:val="12"/>
                <w:szCs w:val="12"/>
              </w:rPr>
            </w:pPr>
            <w:r w:rsidRPr="00A455FD">
              <w:rPr>
                <w:rFonts w:asciiTheme="minorHAnsi" w:hAnsiTheme="minorHAnsi" w:cstheme="minorHAnsi"/>
                <w:color w:val="000000"/>
                <w:sz w:val="12"/>
                <w:szCs w:val="12"/>
              </w:rPr>
              <w:t>42%</w:t>
            </w:r>
          </w:p>
        </w:tc>
        <w:tc>
          <w:tcPr>
            <w:tcW w:w="1416" w:type="dxa"/>
            <w:tcBorders>
              <w:left w:val="single" w:sz="4" w:space="0" w:color="auto"/>
            </w:tcBorders>
            <w:shd w:val="clear" w:color="000000" w:fill="FFFFFF"/>
            <w:vAlign w:val="center"/>
          </w:tcPr>
          <w:p w14:paraId="5112CBAA" w14:textId="77777777" w:rsidR="0044035E" w:rsidRPr="00A455FD" w:rsidRDefault="0044035E" w:rsidP="006A1A41">
            <w:pPr>
              <w:spacing w:line="276" w:lineRule="auto"/>
              <w:jc w:val="right"/>
              <w:outlineLvl w:val="0"/>
              <w:rPr>
                <w:rFonts w:asciiTheme="minorHAnsi" w:hAnsiTheme="minorHAnsi" w:cstheme="minorHAnsi"/>
                <w:sz w:val="12"/>
                <w:szCs w:val="12"/>
              </w:rPr>
            </w:pPr>
            <w:r w:rsidRPr="00A455FD">
              <w:rPr>
                <w:rFonts w:asciiTheme="minorHAnsi" w:hAnsiTheme="minorHAnsi" w:cstheme="minorHAnsi"/>
                <w:color w:val="000000"/>
                <w:sz w:val="12"/>
                <w:szCs w:val="12"/>
              </w:rPr>
              <w:t>39%</w:t>
            </w:r>
          </w:p>
        </w:tc>
      </w:tr>
      <w:tr w:rsidR="0044035E" w:rsidRPr="00CA4A72" w14:paraId="5D830486" w14:textId="77777777" w:rsidTr="006A1A41">
        <w:trPr>
          <w:trHeight w:val="170"/>
        </w:trPr>
        <w:tc>
          <w:tcPr>
            <w:tcW w:w="3965" w:type="dxa"/>
            <w:tcBorders>
              <w:top w:val="nil"/>
              <w:bottom w:val="nil"/>
              <w:right w:val="single" w:sz="4" w:space="0" w:color="auto"/>
            </w:tcBorders>
            <w:shd w:val="clear" w:color="auto" w:fill="auto"/>
            <w:vAlign w:val="center"/>
            <w:hideMark/>
          </w:tcPr>
          <w:p w14:paraId="26FF125D" w14:textId="77777777" w:rsidR="0044035E" w:rsidRPr="00CA4A72" w:rsidRDefault="0044035E" w:rsidP="006A1A41">
            <w:pPr>
              <w:spacing w:line="276" w:lineRule="auto"/>
              <w:outlineLvl w:val="0"/>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Europe</w:t>
            </w:r>
          </w:p>
        </w:tc>
        <w:tc>
          <w:tcPr>
            <w:tcW w:w="1416" w:type="dxa"/>
            <w:tcBorders>
              <w:left w:val="single" w:sz="4" w:space="0" w:color="auto"/>
              <w:right w:val="single" w:sz="4" w:space="0" w:color="auto"/>
            </w:tcBorders>
            <w:shd w:val="clear" w:color="000000" w:fill="FFFFFF"/>
            <w:vAlign w:val="center"/>
          </w:tcPr>
          <w:p w14:paraId="227052A7" w14:textId="77777777" w:rsidR="0044035E" w:rsidRPr="00A455FD" w:rsidRDefault="0044035E" w:rsidP="006A1A41">
            <w:pPr>
              <w:spacing w:line="276" w:lineRule="auto"/>
              <w:jc w:val="right"/>
              <w:outlineLvl w:val="0"/>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(4)%</w:t>
            </w:r>
          </w:p>
        </w:tc>
        <w:tc>
          <w:tcPr>
            <w:tcW w:w="1416" w:type="dxa"/>
            <w:tcBorders>
              <w:left w:val="single" w:sz="4" w:space="0" w:color="auto"/>
              <w:right w:val="single" w:sz="4" w:space="0" w:color="auto"/>
            </w:tcBorders>
            <w:shd w:val="clear" w:color="auto" w:fill="auto"/>
            <w:vAlign w:val="center"/>
          </w:tcPr>
          <w:p w14:paraId="4A1F947A" w14:textId="77777777" w:rsidR="0044035E" w:rsidRPr="00A455FD" w:rsidRDefault="0044035E" w:rsidP="006A1A41">
            <w:pPr>
              <w:spacing w:line="276" w:lineRule="auto"/>
              <w:jc w:val="right"/>
              <w:outlineLvl w:val="0"/>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(4)%</w:t>
            </w:r>
          </w:p>
        </w:tc>
        <w:tc>
          <w:tcPr>
            <w:tcW w:w="1416" w:type="dxa"/>
            <w:tcBorders>
              <w:left w:val="single" w:sz="4" w:space="0" w:color="auto"/>
              <w:right w:val="single" w:sz="4" w:space="0" w:color="auto"/>
            </w:tcBorders>
            <w:shd w:val="clear" w:color="000000" w:fill="FFFFFF"/>
            <w:vAlign w:val="center"/>
          </w:tcPr>
          <w:p w14:paraId="388FF4EC" w14:textId="77777777" w:rsidR="0044035E" w:rsidRPr="00A455FD" w:rsidRDefault="0044035E" w:rsidP="006A1A41">
            <w:pPr>
              <w:spacing w:line="276" w:lineRule="auto"/>
              <w:jc w:val="right"/>
              <w:outlineLvl w:val="0"/>
              <w:rPr>
                <w:rFonts w:asciiTheme="minorHAnsi" w:hAnsiTheme="minorHAnsi" w:cstheme="minorHAnsi"/>
                <w:sz w:val="12"/>
                <w:szCs w:val="12"/>
              </w:rPr>
            </w:pPr>
            <w:r w:rsidRPr="00A455FD">
              <w:rPr>
                <w:rFonts w:asciiTheme="minorHAnsi" w:hAnsiTheme="minorHAnsi" w:cstheme="minorHAnsi"/>
                <w:color w:val="000000"/>
                <w:sz w:val="12"/>
                <w:szCs w:val="12"/>
              </w:rPr>
              <w:t>(0)%</w:t>
            </w:r>
          </w:p>
        </w:tc>
        <w:tc>
          <w:tcPr>
            <w:tcW w:w="1416" w:type="dxa"/>
            <w:tcBorders>
              <w:left w:val="single" w:sz="4" w:space="0" w:color="auto"/>
            </w:tcBorders>
            <w:shd w:val="clear" w:color="000000" w:fill="FFFFFF"/>
            <w:vAlign w:val="center"/>
          </w:tcPr>
          <w:p w14:paraId="05B3CB18" w14:textId="77777777" w:rsidR="0044035E" w:rsidRPr="00A455FD" w:rsidRDefault="0044035E" w:rsidP="006A1A41">
            <w:pPr>
              <w:spacing w:line="276" w:lineRule="auto"/>
              <w:jc w:val="right"/>
              <w:outlineLvl w:val="0"/>
              <w:rPr>
                <w:rFonts w:asciiTheme="minorHAnsi" w:hAnsiTheme="minorHAnsi" w:cstheme="minorHAnsi"/>
                <w:sz w:val="12"/>
                <w:szCs w:val="12"/>
              </w:rPr>
            </w:pPr>
            <w:r w:rsidRPr="00A455FD">
              <w:rPr>
                <w:rFonts w:asciiTheme="minorHAnsi" w:hAnsiTheme="minorHAnsi" w:cstheme="minorHAnsi"/>
                <w:color w:val="000000"/>
                <w:sz w:val="12"/>
                <w:szCs w:val="12"/>
              </w:rPr>
              <w:t>(0)%</w:t>
            </w:r>
          </w:p>
        </w:tc>
      </w:tr>
      <w:tr w:rsidR="0044035E" w:rsidRPr="00CA4A72" w14:paraId="13C43C25" w14:textId="77777777" w:rsidTr="006A1A41">
        <w:trPr>
          <w:trHeight w:val="170"/>
        </w:trPr>
        <w:tc>
          <w:tcPr>
            <w:tcW w:w="3965" w:type="dxa"/>
            <w:tcBorders>
              <w:top w:val="nil"/>
              <w:bottom w:val="single" w:sz="4" w:space="0" w:color="auto"/>
              <w:right w:val="single" w:sz="4" w:space="0" w:color="auto"/>
            </w:tcBorders>
            <w:shd w:val="clear" w:color="auto" w:fill="auto"/>
            <w:vAlign w:val="center"/>
            <w:hideMark/>
          </w:tcPr>
          <w:p w14:paraId="06517A5A" w14:textId="77777777" w:rsidR="0044035E" w:rsidRPr="00CA4A72" w:rsidRDefault="0044035E" w:rsidP="006A1A41">
            <w:pPr>
              <w:spacing w:line="276" w:lineRule="auto"/>
              <w:outlineLvl w:val="0"/>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Asia</w:t>
            </w:r>
          </w:p>
        </w:tc>
        <w:tc>
          <w:tcPr>
            <w:tcW w:w="1416" w:type="dxa"/>
            <w:tcBorders>
              <w:left w:val="single" w:sz="4" w:space="0" w:color="auto"/>
              <w:bottom w:val="single" w:sz="4" w:space="0" w:color="auto"/>
              <w:right w:val="single" w:sz="4" w:space="0" w:color="auto"/>
            </w:tcBorders>
            <w:shd w:val="clear" w:color="000000" w:fill="FFFFFF"/>
            <w:vAlign w:val="center"/>
          </w:tcPr>
          <w:p w14:paraId="7ECF70DC" w14:textId="77777777" w:rsidR="0044035E" w:rsidRPr="00A455FD" w:rsidRDefault="0044035E" w:rsidP="006A1A41">
            <w:pPr>
              <w:spacing w:line="276" w:lineRule="auto"/>
              <w:jc w:val="right"/>
              <w:outlineLvl w:val="0"/>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2%</w:t>
            </w:r>
          </w:p>
        </w:tc>
        <w:tc>
          <w:tcPr>
            <w:tcW w:w="1416" w:type="dxa"/>
            <w:tcBorders>
              <w:left w:val="single" w:sz="4" w:space="0" w:color="auto"/>
              <w:bottom w:val="single" w:sz="4" w:space="0" w:color="auto"/>
              <w:right w:val="single" w:sz="4" w:space="0" w:color="auto"/>
            </w:tcBorders>
            <w:shd w:val="clear" w:color="auto" w:fill="auto"/>
            <w:vAlign w:val="center"/>
          </w:tcPr>
          <w:p w14:paraId="7729A187" w14:textId="77777777" w:rsidR="0044035E" w:rsidRPr="00A455FD" w:rsidRDefault="0044035E" w:rsidP="006A1A41">
            <w:pPr>
              <w:spacing w:line="276" w:lineRule="auto"/>
              <w:jc w:val="right"/>
              <w:outlineLvl w:val="0"/>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w:t>
            </w:r>
          </w:p>
        </w:tc>
        <w:tc>
          <w:tcPr>
            <w:tcW w:w="1416" w:type="dxa"/>
            <w:tcBorders>
              <w:left w:val="single" w:sz="4" w:space="0" w:color="auto"/>
              <w:bottom w:val="single" w:sz="4" w:space="0" w:color="auto"/>
              <w:right w:val="single" w:sz="4" w:space="0" w:color="auto"/>
            </w:tcBorders>
            <w:shd w:val="clear" w:color="000000" w:fill="FFFFFF"/>
            <w:vAlign w:val="center"/>
          </w:tcPr>
          <w:p w14:paraId="1326B0C1" w14:textId="77777777" w:rsidR="0044035E" w:rsidRPr="00A455FD" w:rsidRDefault="0044035E" w:rsidP="006A1A41">
            <w:pPr>
              <w:spacing w:line="276" w:lineRule="auto"/>
              <w:jc w:val="right"/>
              <w:outlineLvl w:val="0"/>
              <w:rPr>
                <w:rFonts w:asciiTheme="minorHAnsi" w:hAnsiTheme="minorHAnsi" w:cstheme="minorHAnsi"/>
                <w:sz w:val="12"/>
                <w:szCs w:val="12"/>
              </w:rPr>
            </w:pPr>
            <w:r w:rsidRPr="00A455FD">
              <w:rPr>
                <w:rFonts w:asciiTheme="minorHAnsi" w:hAnsiTheme="minorHAnsi" w:cstheme="minorHAnsi"/>
                <w:color w:val="000000"/>
                <w:sz w:val="12"/>
                <w:szCs w:val="12"/>
              </w:rPr>
              <w:t>6%</w:t>
            </w:r>
          </w:p>
        </w:tc>
        <w:tc>
          <w:tcPr>
            <w:tcW w:w="1416" w:type="dxa"/>
            <w:tcBorders>
              <w:left w:val="single" w:sz="4" w:space="0" w:color="auto"/>
            </w:tcBorders>
            <w:shd w:val="clear" w:color="000000" w:fill="FFFFFF"/>
            <w:vAlign w:val="center"/>
          </w:tcPr>
          <w:p w14:paraId="4E57A791" w14:textId="77777777" w:rsidR="0044035E" w:rsidRPr="00A455FD" w:rsidRDefault="0044035E" w:rsidP="006A1A41">
            <w:pPr>
              <w:spacing w:line="276" w:lineRule="auto"/>
              <w:jc w:val="right"/>
              <w:outlineLvl w:val="0"/>
              <w:rPr>
                <w:rFonts w:asciiTheme="minorHAnsi" w:hAnsiTheme="minorHAnsi" w:cstheme="minorHAnsi"/>
                <w:sz w:val="12"/>
                <w:szCs w:val="12"/>
              </w:rPr>
            </w:pPr>
            <w:r w:rsidRPr="00A455FD">
              <w:rPr>
                <w:rFonts w:asciiTheme="minorHAnsi" w:hAnsiTheme="minorHAnsi" w:cstheme="minorHAnsi"/>
                <w:color w:val="000000"/>
                <w:sz w:val="12"/>
                <w:szCs w:val="12"/>
              </w:rPr>
              <w:t>5%</w:t>
            </w:r>
          </w:p>
        </w:tc>
      </w:tr>
    </w:tbl>
    <w:p w14:paraId="6A442271" w14:textId="77777777" w:rsidR="0044035E" w:rsidRDefault="0044035E" w:rsidP="0044035E">
      <w:pPr>
        <w:spacing w:line="276" w:lineRule="auto"/>
        <w:rPr>
          <w:rFonts w:asciiTheme="minorHAnsi" w:eastAsia="MS Mincho" w:hAnsiTheme="minorHAnsi" w:cstheme="minorHAnsi"/>
          <w:bCs/>
          <w:color w:val="000000"/>
          <w:sz w:val="12"/>
          <w:szCs w:val="12"/>
          <w:lang w:eastAsia="ja-JP"/>
        </w:rPr>
      </w:pPr>
      <w:r w:rsidRPr="002C073C">
        <w:rPr>
          <w:rFonts w:asciiTheme="minorHAnsi" w:eastAsia="MS Mincho" w:hAnsiTheme="minorHAnsi" w:cstheme="minorHAnsi"/>
          <w:bCs/>
          <w:color w:val="000000"/>
          <w:sz w:val="12"/>
          <w:szCs w:val="12"/>
          <w:vertAlign w:val="superscript"/>
          <w:lang w:eastAsia="ja-JP"/>
        </w:rPr>
        <w:t>(2)</w:t>
      </w:r>
      <w:r>
        <w:rPr>
          <w:rFonts w:asciiTheme="minorHAnsi" w:eastAsia="MS Mincho" w:hAnsiTheme="minorHAnsi" w:cstheme="minorHAnsi"/>
          <w:bCs/>
          <w:color w:val="000000"/>
          <w:sz w:val="12"/>
          <w:szCs w:val="12"/>
          <w:lang w:eastAsia="ja-JP"/>
        </w:rPr>
        <w:t xml:space="preserve"> Excluding ENOVIA Life Sciences Compliance and Quality Management (</w:t>
      </w:r>
      <w:r w:rsidRPr="0031582A">
        <w:rPr>
          <w:rFonts w:asciiTheme="minorHAnsi" w:eastAsia="MS Mincho" w:hAnsiTheme="minorHAnsi" w:cstheme="minorHAnsi"/>
          <w:bCs/>
          <w:color w:val="000000"/>
          <w:sz w:val="12"/>
          <w:szCs w:val="12"/>
          <w:lang w:eastAsia="ja-JP"/>
        </w:rPr>
        <w:t>Q2 2019: €3.7m; YTD 2019: €7.0m)</w:t>
      </w:r>
    </w:p>
    <w:p w14:paraId="52EA426F" w14:textId="77777777" w:rsidR="0044035E" w:rsidRDefault="0044035E" w:rsidP="0044035E">
      <w:pPr>
        <w:spacing w:line="276" w:lineRule="auto"/>
        <w:rPr>
          <w:rFonts w:asciiTheme="minorHAnsi" w:eastAsia="MS Mincho" w:hAnsiTheme="minorHAnsi" w:cstheme="minorHAnsi"/>
          <w:bCs/>
          <w:color w:val="000000"/>
          <w:sz w:val="12"/>
          <w:szCs w:val="12"/>
          <w:lang w:eastAsia="ja-JP"/>
        </w:rPr>
      </w:pPr>
      <w:r w:rsidRPr="002C073C">
        <w:rPr>
          <w:rFonts w:asciiTheme="minorHAnsi" w:eastAsia="MS Mincho" w:hAnsiTheme="minorHAnsi" w:cstheme="minorHAnsi"/>
          <w:bCs/>
          <w:color w:val="000000"/>
          <w:sz w:val="12"/>
          <w:szCs w:val="12"/>
          <w:vertAlign w:val="superscript"/>
          <w:lang w:eastAsia="ja-JP"/>
        </w:rPr>
        <w:t>(3)</w:t>
      </w:r>
      <w:r>
        <w:rPr>
          <w:rFonts w:asciiTheme="minorHAnsi" w:eastAsia="MS Mincho" w:hAnsiTheme="minorHAnsi" w:cstheme="minorHAnsi"/>
          <w:bCs/>
          <w:color w:val="000000"/>
          <w:sz w:val="12"/>
          <w:szCs w:val="12"/>
          <w:lang w:eastAsia="ja-JP"/>
        </w:rPr>
        <w:t xml:space="preserve"> Including ENOVIA Life Sciences Compliance and Quality Management </w:t>
      </w:r>
      <w:r w:rsidRPr="0031582A">
        <w:rPr>
          <w:rFonts w:asciiTheme="minorHAnsi" w:eastAsia="MS Mincho" w:hAnsiTheme="minorHAnsi" w:cstheme="minorHAnsi"/>
          <w:bCs/>
          <w:color w:val="000000"/>
          <w:sz w:val="12"/>
          <w:szCs w:val="12"/>
          <w:lang w:eastAsia="ja-JP"/>
        </w:rPr>
        <w:t>(Q2 2019: €3.7m; YTD 2019: €7.0m)</w:t>
      </w:r>
    </w:p>
    <w:p w14:paraId="0003800F" w14:textId="77777777" w:rsidR="0044035E" w:rsidRPr="00CA4A72" w:rsidRDefault="0044035E" w:rsidP="0044035E">
      <w:pPr>
        <w:spacing w:line="276" w:lineRule="auto"/>
        <w:rPr>
          <w:rFonts w:asciiTheme="minorHAnsi" w:eastAsia="MS Mincho" w:hAnsiTheme="minorHAnsi" w:cstheme="minorHAnsi"/>
          <w:bCs/>
          <w:color w:val="000000"/>
          <w:sz w:val="12"/>
          <w:szCs w:val="12"/>
          <w:lang w:eastAsia="ja-JP"/>
        </w:rPr>
      </w:pPr>
      <w:r w:rsidRPr="002C073C">
        <w:rPr>
          <w:rFonts w:asciiTheme="minorHAnsi" w:eastAsia="MS Mincho" w:hAnsiTheme="minorHAnsi" w:cstheme="minorHAnsi"/>
          <w:bCs/>
          <w:color w:val="000000"/>
          <w:sz w:val="12"/>
          <w:szCs w:val="12"/>
          <w:vertAlign w:val="superscript"/>
          <w:lang w:eastAsia="ja-JP"/>
        </w:rPr>
        <w:t>(4)</w:t>
      </w:r>
      <w:r>
        <w:rPr>
          <w:rFonts w:asciiTheme="minorHAnsi" w:eastAsia="MS Mincho" w:hAnsiTheme="minorHAnsi" w:cstheme="minorHAnsi"/>
          <w:bCs/>
          <w:color w:val="000000"/>
          <w:sz w:val="12"/>
          <w:szCs w:val="12"/>
          <w:lang w:eastAsia="ja-JP"/>
        </w:rPr>
        <w:t xml:space="preserve"> </w:t>
      </w:r>
      <w:r w:rsidRPr="00CA4A72">
        <w:rPr>
          <w:rFonts w:asciiTheme="minorHAnsi" w:eastAsia="MS Mincho" w:hAnsiTheme="minorHAnsi" w:cstheme="minorHAnsi"/>
          <w:bCs/>
          <w:color w:val="000000"/>
          <w:sz w:val="12"/>
          <w:szCs w:val="12"/>
          <w:lang w:eastAsia="ja-JP"/>
        </w:rPr>
        <w:t xml:space="preserve">Variation compared to the </w:t>
      </w:r>
      <w:r>
        <w:rPr>
          <w:rFonts w:asciiTheme="minorHAnsi" w:eastAsia="MS Mincho" w:hAnsiTheme="minorHAnsi" w:cstheme="minorHAnsi"/>
          <w:bCs/>
          <w:color w:val="000000"/>
          <w:sz w:val="12"/>
          <w:szCs w:val="12"/>
          <w:lang w:eastAsia="ja-JP"/>
        </w:rPr>
        <w:t>same period in the prior year</w:t>
      </w:r>
    </w:p>
    <w:p w14:paraId="215469DC" w14:textId="77777777" w:rsidR="0044035E" w:rsidRPr="00CA4A72" w:rsidRDefault="0044035E" w:rsidP="0044035E">
      <w:pPr>
        <w:spacing w:after="200" w:line="276" w:lineRule="auto"/>
        <w:rPr>
          <w:rFonts w:asciiTheme="minorHAnsi" w:hAnsiTheme="minorHAnsi" w:cstheme="minorHAnsi"/>
          <w:b/>
          <w:bCs/>
          <w:color w:val="000000"/>
        </w:rPr>
      </w:pPr>
      <w:r w:rsidRPr="00CA4A72">
        <w:rPr>
          <w:rFonts w:asciiTheme="minorHAnsi" w:hAnsiTheme="minorHAnsi" w:cstheme="minorHAnsi"/>
          <w:b/>
          <w:bCs/>
          <w:color w:val="000000"/>
        </w:rPr>
        <w:br w:type="page"/>
      </w:r>
    </w:p>
    <w:p w14:paraId="3E6DEF6B" w14:textId="77777777" w:rsidR="0044035E" w:rsidRPr="00CA4A72" w:rsidRDefault="0044035E" w:rsidP="0044035E">
      <w:pPr>
        <w:autoSpaceDE w:val="0"/>
        <w:autoSpaceDN w:val="0"/>
        <w:adjustRightInd w:val="0"/>
        <w:jc w:val="center"/>
        <w:rPr>
          <w:rFonts w:asciiTheme="minorHAnsi" w:hAnsiTheme="minorHAnsi" w:cstheme="minorHAnsi"/>
          <w:b/>
          <w:bCs/>
          <w:color w:val="000000"/>
        </w:rPr>
      </w:pPr>
      <w:r w:rsidRPr="00CA4A72">
        <w:rPr>
          <w:rFonts w:asciiTheme="minorHAnsi" w:hAnsiTheme="minorHAnsi" w:cstheme="minorHAnsi"/>
          <w:b/>
          <w:bCs/>
          <w:color w:val="000000"/>
        </w:rPr>
        <w:t>DASSAULT SYSTEMES</w:t>
      </w:r>
    </w:p>
    <w:p w14:paraId="1A86C303" w14:textId="77777777" w:rsidR="0044035E" w:rsidRPr="00CA4A72" w:rsidRDefault="0044035E" w:rsidP="0044035E">
      <w:pPr>
        <w:autoSpaceDE w:val="0"/>
        <w:autoSpaceDN w:val="0"/>
        <w:adjustRightInd w:val="0"/>
        <w:jc w:val="center"/>
        <w:rPr>
          <w:rFonts w:asciiTheme="minorHAnsi" w:hAnsiTheme="minorHAnsi" w:cstheme="minorHAnsi"/>
          <w:b/>
          <w:bCs/>
          <w:color w:val="000000"/>
        </w:rPr>
      </w:pPr>
      <w:r w:rsidRPr="00CA4A72">
        <w:rPr>
          <w:rFonts w:asciiTheme="minorHAnsi" w:hAnsiTheme="minorHAnsi" w:cstheme="minorHAnsi"/>
          <w:b/>
          <w:bCs/>
          <w:color w:val="000000"/>
        </w:rPr>
        <w:t>CONDENSED CONSOLIDATED BALANCE SHEETS (IFRS)</w:t>
      </w:r>
    </w:p>
    <w:p w14:paraId="3EF411DF" w14:textId="77777777" w:rsidR="0044035E" w:rsidRPr="00CA4A72" w:rsidRDefault="0044035E" w:rsidP="0044035E">
      <w:pPr>
        <w:jc w:val="center"/>
        <w:rPr>
          <w:rFonts w:asciiTheme="minorHAnsi" w:hAnsiTheme="minorHAnsi" w:cstheme="minorHAnsi"/>
          <w:sz w:val="20"/>
          <w:szCs w:val="20"/>
        </w:rPr>
      </w:pPr>
      <w:r w:rsidRPr="00CA4A72">
        <w:rPr>
          <w:rFonts w:asciiTheme="minorHAnsi" w:hAnsiTheme="minorHAnsi" w:cstheme="minorHAnsi"/>
          <w:sz w:val="20"/>
          <w:szCs w:val="20"/>
        </w:rPr>
        <w:t>(</w:t>
      </w:r>
      <w:proofErr w:type="gramStart"/>
      <w:r w:rsidRPr="00CA4A72">
        <w:rPr>
          <w:rFonts w:asciiTheme="minorHAnsi" w:hAnsiTheme="minorHAnsi" w:cstheme="minorHAnsi"/>
          <w:sz w:val="20"/>
          <w:szCs w:val="20"/>
        </w:rPr>
        <w:t>unaudited</w:t>
      </w:r>
      <w:proofErr w:type="gramEnd"/>
      <w:r w:rsidRPr="00CA4A72">
        <w:rPr>
          <w:rFonts w:asciiTheme="minorHAnsi" w:hAnsiTheme="minorHAnsi" w:cstheme="minorHAnsi"/>
          <w:sz w:val="20"/>
          <w:szCs w:val="20"/>
        </w:rPr>
        <w:t>; in millions of Euros)</w:t>
      </w:r>
    </w:p>
    <w:p w14:paraId="345E724D" w14:textId="77777777" w:rsidR="0044035E" w:rsidRPr="00CA4A72" w:rsidRDefault="0044035E" w:rsidP="0044035E">
      <w:pPr>
        <w:jc w:val="both"/>
        <w:rPr>
          <w:rFonts w:asciiTheme="minorHAnsi" w:hAnsiTheme="minorHAnsi" w:cstheme="minorHAnsi"/>
          <w:noProof/>
          <w:sz w:val="20"/>
          <w:lang w:eastAsia="fr-FR"/>
        </w:rPr>
      </w:pPr>
    </w:p>
    <w:tbl>
      <w:tblPr>
        <w:tblW w:w="679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20"/>
        <w:gridCol w:w="1632"/>
        <w:gridCol w:w="1642"/>
      </w:tblGrid>
      <w:tr w:rsidR="0044035E" w:rsidRPr="008B014D" w14:paraId="476FA613" w14:textId="77777777" w:rsidTr="006A1A41">
        <w:trPr>
          <w:trHeight w:val="227"/>
          <w:jc w:val="center"/>
        </w:trPr>
        <w:tc>
          <w:tcPr>
            <w:tcW w:w="3520" w:type="dxa"/>
            <w:vMerge w:val="restart"/>
            <w:tcBorders>
              <w:top w:val="single" w:sz="4" w:space="0" w:color="auto"/>
              <w:bottom w:val="single" w:sz="4" w:space="0" w:color="auto"/>
              <w:right w:val="single" w:sz="4" w:space="0" w:color="auto"/>
            </w:tcBorders>
            <w:shd w:val="clear" w:color="auto" w:fill="auto"/>
            <w:vAlign w:val="center"/>
          </w:tcPr>
          <w:p w14:paraId="2653C918" w14:textId="77777777" w:rsidR="0044035E" w:rsidRPr="008B014D" w:rsidRDefault="0044035E" w:rsidP="006A1A41">
            <w:pPr>
              <w:spacing w:line="276" w:lineRule="auto"/>
              <w:ind w:firstLineChars="100" w:firstLine="120"/>
              <w:jc w:val="center"/>
              <w:rPr>
                <w:rFonts w:asciiTheme="minorHAnsi" w:hAnsiTheme="minorHAnsi" w:cstheme="minorHAnsi"/>
                <w:sz w:val="12"/>
                <w:szCs w:val="14"/>
              </w:rPr>
            </w:pPr>
            <w:r w:rsidRPr="008B014D">
              <w:rPr>
                <w:rFonts w:asciiTheme="minorHAnsi" w:hAnsiTheme="minorHAnsi" w:cstheme="minorHAnsi"/>
                <w:sz w:val="12"/>
                <w:szCs w:val="14"/>
              </w:rPr>
              <w:t>In millions of Euros</w:t>
            </w:r>
          </w:p>
        </w:tc>
        <w:tc>
          <w:tcPr>
            <w:tcW w:w="3274" w:type="dxa"/>
            <w:gridSpan w:val="2"/>
            <w:tcBorders>
              <w:top w:val="single" w:sz="4" w:space="0" w:color="auto"/>
              <w:left w:val="single" w:sz="4" w:space="0" w:color="auto"/>
              <w:bottom w:val="single" w:sz="4" w:space="0" w:color="auto"/>
            </w:tcBorders>
            <w:shd w:val="clear" w:color="auto" w:fill="auto"/>
            <w:vAlign w:val="center"/>
          </w:tcPr>
          <w:p w14:paraId="77565E61" w14:textId="77777777" w:rsidR="0044035E" w:rsidRPr="008B014D" w:rsidRDefault="0044035E" w:rsidP="006A1A41">
            <w:pPr>
              <w:spacing w:line="276" w:lineRule="auto"/>
              <w:jc w:val="center"/>
              <w:rPr>
                <w:rFonts w:asciiTheme="minorHAnsi" w:hAnsiTheme="minorHAnsi" w:cstheme="minorHAnsi"/>
                <w:b/>
                <w:bCs/>
                <w:sz w:val="12"/>
                <w:szCs w:val="14"/>
              </w:rPr>
            </w:pPr>
            <w:r>
              <w:rPr>
                <w:rFonts w:asciiTheme="minorHAnsi" w:hAnsiTheme="minorHAnsi" w:cstheme="minorHAnsi"/>
                <w:b/>
                <w:bCs/>
                <w:sz w:val="12"/>
                <w:szCs w:val="14"/>
              </w:rPr>
              <w:t>IFRS reported</w:t>
            </w:r>
          </w:p>
        </w:tc>
      </w:tr>
      <w:tr w:rsidR="0044035E" w:rsidRPr="008B014D" w14:paraId="6AC8783B" w14:textId="77777777" w:rsidTr="006A1A41">
        <w:trPr>
          <w:trHeight w:val="170"/>
          <w:jc w:val="center"/>
        </w:trPr>
        <w:tc>
          <w:tcPr>
            <w:tcW w:w="3520" w:type="dxa"/>
            <w:vMerge/>
            <w:tcBorders>
              <w:top w:val="nil"/>
              <w:bottom w:val="single" w:sz="4" w:space="0" w:color="auto"/>
              <w:right w:val="single" w:sz="4" w:space="0" w:color="auto"/>
            </w:tcBorders>
            <w:shd w:val="clear" w:color="auto" w:fill="auto"/>
            <w:vAlign w:val="center"/>
            <w:hideMark/>
          </w:tcPr>
          <w:p w14:paraId="2143040A" w14:textId="77777777" w:rsidR="0044035E" w:rsidRPr="008B014D" w:rsidRDefault="0044035E" w:rsidP="006A1A41">
            <w:pPr>
              <w:spacing w:line="276" w:lineRule="auto"/>
              <w:ind w:firstLineChars="100" w:firstLine="120"/>
              <w:rPr>
                <w:rFonts w:asciiTheme="minorHAnsi" w:eastAsia="Times New Roman" w:hAnsiTheme="minorHAnsi" w:cstheme="minorHAnsi"/>
                <w:sz w:val="12"/>
                <w:szCs w:val="14"/>
                <w:lang w:val="en-GB" w:eastAsia="en-GB"/>
              </w:rPr>
            </w:pPr>
          </w:p>
        </w:tc>
        <w:tc>
          <w:tcPr>
            <w:tcW w:w="1632" w:type="dxa"/>
            <w:tcBorders>
              <w:top w:val="single" w:sz="4" w:space="0" w:color="auto"/>
              <w:left w:val="single" w:sz="4" w:space="0" w:color="auto"/>
              <w:bottom w:val="nil"/>
              <w:right w:val="single" w:sz="4" w:space="0" w:color="auto"/>
            </w:tcBorders>
            <w:shd w:val="clear" w:color="auto" w:fill="auto"/>
            <w:vAlign w:val="bottom"/>
            <w:hideMark/>
          </w:tcPr>
          <w:p w14:paraId="22FEC502" w14:textId="77777777" w:rsidR="0044035E" w:rsidRPr="008B014D" w:rsidRDefault="0044035E" w:rsidP="006A1A41">
            <w:pPr>
              <w:spacing w:line="276" w:lineRule="auto"/>
              <w:jc w:val="center"/>
              <w:rPr>
                <w:rFonts w:asciiTheme="minorHAnsi" w:eastAsia="Times New Roman" w:hAnsiTheme="minorHAnsi" w:cstheme="minorHAnsi"/>
                <w:b/>
                <w:bCs/>
                <w:sz w:val="12"/>
                <w:szCs w:val="14"/>
                <w:lang w:val="en-GB" w:eastAsia="en-GB"/>
              </w:rPr>
            </w:pPr>
            <w:r>
              <w:rPr>
                <w:rFonts w:asciiTheme="minorHAnsi" w:hAnsiTheme="minorHAnsi" w:cstheme="minorHAnsi"/>
                <w:b/>
                <w:bCs/>
                <w:sz w:val="12"/>
                <w:szCs w:val="14"/>
              </w:rPr>
              <w:t>June 30</w:t>
            </w:r>
            <w:r w:rsidRPr="008B014D">
              <w:rPr>
                <w:rFonts w:asciiTheme="minorHAnsi" w:hAnsiTheme="minorHAnsi" w:cstheme="minorHAnsi"/>
                <w:b/>
                <w:bCs/>
                <w:sz w:val="12"/>
                <w:szCs w:val="14"/>
              </w:rPr>
              <w:t>,</w:t>
            </w:r>
          </w:p>
        </w:tc>
        <w:tc>
          <w:tcPr>
            <w:tcW w:w="1642" w:type="dxa"/>
            <w:tcBorders>
              <w:top w:val="single" w:sz="4" w:space="0" w:color="auto"/>
              <w:left w:val="single" w:sz="4" w:space="0" w:color="auto"/>
              <w:bottom w:val="nil"/>
            </w:tcBorders>
            <w:shd w:val="clear" w:color="auto" w:fill="auto"/>
            <w:vAlign w:val="bottom"/>
            <w:hideMark/>
          </w:tcPr>
          <w:p w14:paraId="22D89B3F" w14:textId="77777777" w:rsidR="0044035E" w:rsidRPr="008B014D" w:rsidRDefault="0044035E" w:rsidP="006A1A41">
            <w:pPr>
              <w:spacing w:line="276" w:lineRule="auto"/>
              <w:jc w:val="center"/>
              <w:rPr>
                <w:rFonts w:asciiTheme="minorHAnsi" w:eastAsia="Times New Roman" w:hAnsiTheme="minorHAnsi" w:cstheme="minorHAnsi"/>
                <w:b/>
                <w:bCs/>
                <w:sz w:val="12"/>
                <w:szCs w:val="14"/>
                <w:lang w:val="en-GB" w:eastAsia="en-GB"/>
              </w:rPr>
            </w:pPr>
            <w:r w:rsidRPr="008B014D">
              <w:rPr>
                <w:rFonts w:asciiTheme="minorHAnsi" w:hAnsiTheme="minorHAnsi" w:cstheme="minorHAnsi"/>
                <w:b/>
                <w:bCs/>
                <w:sz w:val="12"/>
                <w:szCs w:val="14"/>
              </w:rPr>
              <w:t>December 31,</w:t>
            </w:r>
          </w:p>
        </w:tc>
      </w:tr>
      <w:tr w:rsidR="0044035E" w:rsidRPr="008B014D" w14:paraId="63A2017F" w14:textId="77777777" w:rsidTr="006A1A41">
        <w:trPr>
          <w:trHeight w:val="170"/>
          <w:jc w:val="center"/>
        </w:trPr>
        <w:tc>
          <w:tcPr>
            <w:tcW w:w="3520" w:type="dxa"/>
            <w:vMerge/>
            <w:tcBorders>
              <w:top w:val="nil"/>
              <w:bottom w:val="single" w:sz="4" w:space="0" w:color="auto"/>
              <w:right w:val="single" w:sz="4" w:space="0" w:color="auto"/>
            </w:tcBorders>
            <w:vAlign w:val="center"/>
            <w:hideMark/>
          </w:tcPr>
          <w:p w14:paraId="27B9600D" w14:textId="77777777" w:rsidR="0044035E" w:rsidRPr="008B014D" w:rsidRDefault="0044035E" w:rsidP="006A1A41">
            <w:pPr>
              <w:spacing w:line="276" w:lineRule="auto"/>
              <w:rPr>
                <w:rFonts w:asciiTheme="minorHAnsi" w:eastAsia="Times New Roman" w:hAnsiTheme="minorHAnsi" w:cstheme="minorHAnsi"/>
                <w:sz w:val="12"/>
                <w:szCs w:val="14"/>
                <w:lang w:val="en-GB" w:eastAsia="en-GB"/>
              </w:rPr>
            </w:pPr>
          </w:p>
        </w:tc>
        <w:tc>
          <w:tcPr>
            <w:tcW w:w="1632" w:type="dxa"/>
            <w:tcBorders>
              <w:top w:val="nil"/>
              <w:left w:val="single" w:sz="4" w:space="0" w:color="auto"/>
              <w:bottom w:val="single" w:sz="4" w:space="0" w:color="auto"/>
              <w:right w:val="single" w:sz="4" w:space="0" w:color="auto"/>
            </w:tcBorders>
            <w:shd w:val="clear" w:color="auto" w:fill="auto"/>
            <w:hideMark/>
          </w:tcPr>
          <w:p w14:paraId="0DA6ACDD" w14:textId="77777777" w:rsidR="0044035E" w:rsidRPr="008B014D" w:rsidRDefault="0044035E" w:rsidP="006A1A41">
            <w:pPr>
              <w:spacing w:line="276" w:lineRule="auto"/>
              <w:jc w:val="center"/>
              <w:rPr>
                <w:rFonts w:asciiTheme="minorHAnsi" w:eastAsia="Times New Roman" w:hAnsiTheme="minorHAnsi" w:cstheme="minorHAnsi"/>
                <w:b/>
                <w:bCs/>
                <w:sz w:val="12"/>
                <w:szCs w:val="14"/>
                <w:lang w:val="en-GB" w:eastAsia="en-GB"/>
              </w:rPr>
            </w:pPr>
            <w:r>
              <w:rPr>
                <w:rFonts w:asciiTheme="minorHAnsi" w:hAnsiTheme="minorHAnsi" w:cstheme="minorHAnsi"/>
                <w:b/>
                <w:bCs/>
                <w:sz w:val="12"/>
                <w:szCs w:val="14"/>
              </w:rPr>
              <w:t>2020</w:t>
            </w:r>
          </w:p>
        </w:tc>
        <w:tc>
          <w:tcPr>
            <w:tcW w:w="1642" w:type="dxa"/>
            <w:tcBorders>
              <w:top w:val="nil"/>
              <w:left w:val="single" w:sz="4" w:space="0" w:color="auto"/>
              <w:bottom w:val="single" w:sz="4" w:space="0" w:color="auto"/>
            </w:tcBorders>
            <w:shd w:val="clear" w:color="000000" w:fill="FFFFFF"/>
            <w:hideMark/>
          </w:tcPr>
          <w:p w14:paraId="4E426177" w14:textId="77777777" w:rsidR="0044035E" w:rsidRPr="008B014D" w:rsidRDefault="0044035E" w:rsidP="006A1A41">
            <w:pPr>
              <w:spacing w:line="276" w:lineRule="auto"/>
              <w:jc w:val="center"/>
              <w:rPr>
                <w:rFonts w:asciiTheme="minorHAnsi" w:eastAsia="Times New Roman" w:hAnsiTheme="minorHAnsi" w:cstheme="minorHAnsi"/>
                <w:b/>
                <w:bCs/>
                <w:sz w:val="12"/>
                <w:szCs w:val="14"/>
                <w:lang w:val="en-GB" w:eastAsia="en-GB"/>
              </w:rPr>
            </w:pPr>
            <w:r>
              <w:rPr>
                <w:rFonts w:asciiTheme="minorHAnsi" w:hAnsiTheme="minorHAnsi" w:cstheme="minorHAnsi"/>
                <w:b/>
                <w:bCs/>
                <w:sz w:val="12"/>
                <w:szCs w:val="14"/>
              </w:rPr>
              <w:t>2019</w:t>
            </w:r>
          </w:p>
        </w:tc>
      </w:tr>
      <w:tr w:rsidR="0044035E" w:rsidRPr="008B014D" w14:paraId="4071E2ED" w14:textId="77777777" w:rsidTr="006A1A41">
        <w:trPr>
          <w:trHeight w:val="284"/>
          <w:jc w:val="center"/>
        </w:trPr>
        <w:tc>
          <w:tcPr>
            <w:tcW w:w="3520" w:type="dxa"/>
            <w:tcBorders>
              <w:top w:val="single" w:sz="4" w:space="0" w:color="auto"/>
              <w:right w:val="single" w:sz="4" w:space="0" w:color="auto"/>
            </w:tcBorders>
            <w:shd w:val="clear" w:color="auto" w:fill="auto"/>
            <w:vAlign w:val="center"/>
            <w:hideMark/>
          </w:tcPr>
          <w:p w14:paraId="59205B39" w14:textId="77777777" w:rsidR="0044035E" w:rsidRPr="008B014D" w:rsidRDefault="0044035E" w:rsidP="006A1A41">
            <w:pPr>
              <w:spacing w:line="276" w:lineRule="auto"/>
              <w:ind w:firstLineChars="50" w:firstLine="60"/>
              <w:rPr>
                <w:rFonts w:asciiTheme="minorHAnsi" w:eastAsia="Times New Roman" w:hAnsiTheme="minorHAnsi" w:cstheme="minorHAnsi"/>
                <w:b/>
                <w:bCs/>
                <w:sz w:val="12"/>
                <w:szCs w:val="14"/>
                <w:lang w:val="en-GB" w:eastAsia="en-GB"/>
              </w:rPr>
            </w:pPr>
            <w:r w:rsidRPr="008B014D">
              <w:rPr>
                <w:rFonts w:asciiTheme="minorHAnsi" w:hAnsiTheme="minorHAnsi" w:cstheme="minorHAnsi"/>
                <w:b/>
                <w:bCs/>
                <w:sz w:val="12"/>
                <w:szCs w:val="14"/>
              </w:rPr>
              <w:t>ASSETS</w:t>
            </w:r>
          </w:p>
        </w:tc>
        <w:tc>
          <w:tcPr>
            <w:tcW w:w="1632" w:type="dxa"/>
            <w:tcBorders>
              <w:top w:val="single" w:sz="4" w:space="0" w:color="auto"/>
              <w:left w:val="single" w:sz="4" w:space="0" w:color="auto"/>
              <w:bottom w:val="nil"/>
              <w:right w:val="single" w:sz="4" w:space="0" w:color="auto"/>
            </w:tcBorders>
            <w:shd w:val="clear" w:color="auto" w:fill="auto"/>
            <w:vAlign w:val="center"/>
            <w:hideMark/>
          </w:tcPr>
          <w:p w14:paraId="49587DBC" w14:textId="77777777" w:rsidR="0044035E" w:rsidRPr="008B014D" w:rsidRDefault="0044035E" w:rsidP="006A1A41">
            <w:pPr>
              <w:spacing w:line="276" w:lineRule="auto"/>
              <w:ind w:firstLineChars="100" w:firstLine="120"/>
              <w:jc w:val="right"/>
              <w:rPr>
                <w:rFonts w:asciiTheme="minorHAnsi" w:eastAsia="Times New Roman" w:hAnsiTheme="minorHAnsi" w:cstheme="minorHAnsi"/>
                <w:b/>
                <w:bCs/>
                <w:sz w:val="12"/>
                <w:szCs w:val="14"/>
                <w:lang w:val="en-GB" w:eastAsia="en-GB"/>
              </w:rPr>
            </w:pPr>
            <w:r w:rsidRPr="008B014D">
              <w:rPr>
                <w:rFonts w:asciiTheme="minorHAnsi" w:hAnsiTheme="minorHAnsi" w:cstheme="minorHAnsi"/>
                <w:b/>
                <w:bCs/>
                <w:sz w:val="12"/>
                <w:szCs w:val="14"/>
              </w:rPr>
              <w:t> </w:t>
            </w:r>
          </w:p>
        </w:tc>
        <w:tc>
          <w:tcPr>
            <w:tcW w:w="1642" w:type="dxa"/>
            <w:tcBorders>
              <w:top w:val="single" w:sz="4" w:space="0" w:color="auto"/>
              <w:left w:val="single" w:sz="4" w:space="0" w:color="auto"/>
            </w:tcBorders>
            <w:shd w:val="clear" w:color="auto" w:fill="auto"/>
            <w:vAlign w:val="center"/>
            <w:hideMark/>
          </w:tcPr>
          <w:p w14:paraId="62DC81F1" w14:textId="77777777" w:rsidR="0044035E" w:rsidRPr="008B014D" w:rsidRDefault="0044035E" w:rsidP="006A1A41">
            <w:pPr>
              <w:spacing w:line="276" w:lineRule="auto"/>
              <w:ind w:firstLineChars="100" w:firstLine="120"/>
              <w:jc w:val="right"/>
              <w:rPr>
                <w:rFonts w:asciiTheme="minorHAnsi" w:eastAsia="Times New Roman" w:hAnsiTheme="minorHAnsi" w:cstheme="minorHAnsi"/>
                <w:b/>
                <w:bCs/>
                <w:sz w:val="12"/>
                <w:szCs w:val="14"/>
                <w:lang w:val="en-GB" w:eastAsia="en-GB"/>
              </w:rPr>
            </w:pPr>
            <w:r w:rsidRPr="008B014D">
              <w:rPr>
                <w:rFonts w:asciiTheme="minorHAnsi" w:hAnsiTheme="minorHAnsi" w:cstheme="minorHAnsi"/>
                <w:b/>
                <w:bCs/>
                <w:sz w:val="12"/>
                <w:szCs w:val="14"/>
              </w:rPr>
              <w:t> </w:t>
            </w:r>
          </w:p>
        </w:tc>
      </w:tr>
      <w:tr w:rsidR="0044035E" w:rsidRPr="008B014D" w14:paraId="2E1D05DF" w14:textId="77777777" w:rsidTr="006A1A41">
        <w:trPr>
          <w:trHeight w:val="227"/>
          <w:jc w:val="center"/>
        </w:trPr>
        <w:tc>
          <w:tcPr>
            <w:tcW w:w="3520" w:type="dxa"/>
            <w:tcBorders>
              <w:right w:val="single" w:sz="4" w:space="0" w:color="auto"/>
            </w:tcBorders>
            <w:shd w:val="clear" w:color="auto" w:fill="auto"/>
            <w:vAlign w:val="center"/>
            <w:hideMark/>
          </w:tcPr>
          <w:p w14:paraId="6C1B78E9" w14:textId="77777777" w:rsidR="0044035E" w:rsidRPr="008B014D" w:rsidRDefault="0044035E" w:rsidP="006A1A41">
            <w:pPr>
              <w:spacing w:line="276" w:lineRule="auto"/>
              <w:ind w:firstLineChars="50" w:firstLine="60"/>
              <w:rPr>
                <w:rFonts w:asciiTheme="minorHAnsi" w:eastAsia="Times New Roman" w:hAnsiTheme="minorHAnsi" w:cstheme="minorHAnsi"/>
                <w:sz w:val="12"/>
                <w:szCs w:val="14"/>
                <w:lang w:val="fr-FR" w:eastAsia="en-GB"/>
              </w:rPr>
            </w:pPr>
            <w:r w:rsidRPr="008B014D">
              <w:rPr>
                <w:rFonts w:asciiTheme="minorHAnsi" w:hAnsiTheme="minorHAnsi" w:cstheme="minorHAnsi"/>
                <w:sz w:val="12"/>
                <w:szCs w:val="14"/>
              </w:rPr>
              <w:t>Cash and cash equivalents</w:t>
            </w:r>
          </w:p>
        </w:tc>
        <w:tc>
          <w:tcPr>
            <w:tcW w:w="1632" w:type="dxa"/>
            <w:tcBorders>
              <w:top w:val="nil"/>
              <w:left w:val="single" w:sz="4" w:space="0" w:color="auto"/>
              <w:bottom w:val="nil"/>
              <w:right w:val="single" w:sz="4" w:space="0" w:color="auto"/>
            </w:tcBorders>
            <w:shd w:val="clear" w:color="auto" w:fill="auto"/>
            <w:vAlign w:val="center"/>
          </w:tcPr>
          <w:p w14:paraId="74FA622D" w14:textId="77777777" w:rsidR="0044035E" w:rsidRPr="00FE3AF9"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val="en-GB" w:eastAsia="en-GB"/>
              </w:rPr>
            </w:pPr>
            <w:r w:rsidRPr="00FE3AF9">
              <w:rPr>
                <w:rFonts w:asciiTheme="minorHAnsi" w:hAnsiTheme="minorHAnsi" w:cstheme="minorHAnsi"/>
                <w:color w:val="000000"/>
                <w:sz w:val="12"/>
                <w:szCs w:val="12"/>
              </w:rPr>
              <w:t xml:space="preserve">2,399.7 </w:t>
            </w:r>
          </w:p>
        </w:tc>
        <w:tc>
          <w:tcPr>
            <w:tcW w:w="1642" w:type="dxa"/>
            <w:tcBorders>
              <w:left w:val="single" w:sz="4" w:space="0" w:color="auto"/>
            </w:tcBorders>
            <w:shd w:val="clear" w:color="000000" w:fill="FFFFFF"/>
            <w:vAlign w:val="center"/>
            <w:hideMark/>
          </w:tcPr>
          <w:p w14:paraId="449548F7" w14:textId="77777777" w:rsidR="0044035E" w:rsidRPr="008B014D" w:rsidRDefault="0044035E" w:rsidP="006A1A41">
            <w:pPr>
              <w:spacing w:line="276" w:lineRule="auto"/>
              <w:ind w:firstLineChars="100" w:firstLine="120"/>
              <w:jc w:val="right"/>
              <w:rPr>
                <w:rFonts w:asciiTheme="minorHAnsi" w:eastAsia="Times New Roman" w:hAnsiTheme="minorHAnsi" w:cstheme="minorHAnsi"/>
                <w:sz w:val="12"/>
                <w:szCs w:val="14"/>
                <w:highlight w:val="yellow"/>
                <w:lang w:val="en-GB" w:eastAsia="en-GB"/>
              </w:rPr>
            </w:pPr>
            <w:r w:rsidRPr="008B014D">
              <w:rPr>
                <w:rFonts w:asciiTheme="minorHAnsi" w:hAnsiTheme="minorHAnsi" w:cstheme="minorHAnsi"/>
                <w:sz w:val="12"/>
                <w:szCs w:val="12"/>
              </w:rPr>
              <w:t xml:space="preserve">1,944.9 </w:t>
            </w:r>
          </w:p>
        </w:tc>
      </w:tr>
      <w:tr w:rsidR="0044035E" w:rsidRPr="008B014D" w14:paraId="3906F65F" w14:textId="77777777" w:rsidTr="006A1A41">
        <w:trPr>
          <w:trHeight w:val="227"/>
          <w:jc w:val="center"/>
        </w:trPr>
        <w:tc>
          <w:tcPr>
            <w:tcW w:w="3520" w:type="dxa"/>
            <w:tcBorders>
              <w:right w:val="single" w:sz="4" w:space="0" w:color="auto"/>
            </w:tcBorders>
            <w:shd w:val="clear" w:color="auto" w:fill="auto"/>
            <w:vAlign w:val="center"/>
            <w:hideMark/>
          </w:tcPr>
          <w:p w14:paraId="2A770332" w14:textId="77777777" w:rsidR="0044035E" w:rsidRPr="008B014D" w:rsidRDefault="0044035E" w:rsidP="006A1A41">
            <w:pPr>
              <w:spacing w:line="276" w:lineRule="auto"/>
              <w:ind w:firstLineChars="50" w:firstLine="60"/>
              <w:rPr>
                <w:rFonts w:asciiTheme="minorHAnsi" w:eastAsia="Times New Roman" w:hAnsiTheme="minorHAnsi" w:cstheme="minorHAnsi"/>
                <w:sz w:val="12"/>
                <w:szCs w:val="14"/>
                <w:lang w:val="fr-FR" w:eastAsia="en-GB"/>
              </w:rPr>
            </w:pPr>
            <w:r w:rsidRPr="008B014D">
              <w:rPr>
                <w:rFonts w:asciiTheme="minorHAnsi" w:hAnsiTheme="minorHAnsi" w:cstheme="minorHAnsi"/>
                <w:sz w:val="12"/>
                <w:szCs w:val="14"/>
              </w:rPr>
              <w:t>Accounts receivable, net</w:t>
            </w:r>
          </w:p>
        </w:tc>
        <w:tc>
          <w:tcPr>
            <w:tcW w:w="1632" w:type="dxa"/>
            <w:tcBorders>
              <w:top w:val="nil"/>
              <w:left w:val="single" w:sz="4" w:space="0" w:color="auto"/>
              <w:bottom w:val="nil"/>
              <w:right w:val="single" w:sz="4" w:space="0" w:color="auto"/>
            </w:tcBorders>
            <w:shd w:val="clear" w:color="auto" w:fill="auto"/>
            <w:vAlign w:val="center"/>
          </w:tcPr>
          <w:p w14:paraId="32C25E12" w14:textId="77777777" w:rsidR="0044035E" w:rsidRPr="00FE3AF9"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val="en-GB" w:eastAsia="en-GB"/>
              </w:rPr>
            </w:pPr>
            <w:r w:rsidRPr="00FE3AF9">
              <w:rPr>
                <w:rFonts w:asciiTheme="minorHAnsi" w:hAnsiTheme="minorHAnsi" w:cstheme="minorHAnsi"/>
                <w:color w:val="000000"/>
                <w:sz w:val="12"/>
                <w:szCs w:val="12"/>
              </w:rPr>
              <w:t xml:space="preserve">965.3 </w:t>
            </w:r>
          </w:p>
        </w:tc>
        <w:tc>
          <w:tcPr>
            <w:tcW w:w="1642" w:type="dxa"/>
            <w:tcBorders>
              <w:left w:val="single" w:sz="4" w:space="0" w:color="auto"/>
            </w:tcBorders>
            <w:shd w:val="clear" w:color="000000" w:fill="FFFFFF"/>
            <w:vAlign w:val="center"/>
            <w:hideMark/>
          </w:tcPr>
          <w:p w14:paraId="659FA843" w14:textId="77777777" w:rsidR="0044035E" w:rsidRPr="008B014D" w:rsidRDefault="0044035E" w:rsidP="006A1A41">
            <w:pPr>
              <w:spacing w:line="276" w:lineRule="auto"/>
              <w:ind w:firstLineChars="100" w:firstLine="120"/>
              <w:jc w:val="right"/>
              <w:rPr>
                <w:rFonts w:asciiTheme="minorHAnsi" w:eastAsia="Times New Roman" w:hAnsiTheme="minorHAnsi" w:cstheme="minorHAnsi"/>
                <w:sz w:val="12"/>
                <w:szCs w:val="14"/>
                <w:highlight w:val="yellow"/>
                <w:lang w:val="en-GB" w:eastAsia="en-GB"/>
              </w:rPr>
            </w:pPr>
            <w:r w:rsidRPr="008B014D">
              <w:rPr>
                <w:rFonts w:asciiTheme="minorHAnsi" w:hAnsiTheme="minorHAnsi" w:cstheme="minorHAnsi"/>
                <w:sz w:val="12"/>
                <w:szCs w:val="12"/>
              </w:rPr>
              <w:t xml:space="preserve">1,319.2 </w:t>
            </w:r>
          </w:p>
        </w:tc>
      </w:tr>
      <w:tr w:rsidR="0044035E" w:rsidRPr="008B014D" w14:paraId="6A340C6F" w14:textId="77777777" w:rsidTr="006A1A41">
        <w:trPr>
          <w:trHeight w:val="227"/>
          <w:jc w:val="center"/>
        </w:trPr>
        <w:tc>
          <w:tcPr>
            <w:tcW w:w="3520" w:type="dxa"/>
            <w:tcBorders>
              <w:right w:val="single" w:sz="4" w:space="0" w:color="auto"/>
            </w:tcBorders>
            <w:shd w:val="clear" w:color="auto" w:fill="auto"/>
            <w:vAlign w:val="center"/>
            <w:hideMark/>
          </w:tcPr>
          <w:p w14:paraId="5B2660CB" w14:textId="77777777" w:rsidR="0044035E" w:rsidRPr="008B014D" w:rsidRDefault="0044035E" w:rsidP="006A1A41">
            <w:pPr>
              <w:spacing w:line="276" w:lineRule="auto"/>
              <w:ind w:firstLineChars="50" w:firstLine="60"/>
              <w:rPr>
                <w:rFonts w:asciiTheme="minorHAnsi" w:eastAsia="Times New Roman" w:hAnsiTheme="minorHAnsi" w:cstheme="minorHAnsi"/>
                <w:sz w:val="12"/>
                <w:szCs w:val="14"/>
                <w:lang w:val="en-GB" w:eastAsia="en-GB"/>
              </w:rPr>
            </w:pPr>
            <w:r w:rsidRPr="008B014D">
              <w:rPr>
                <w:rFonts w:asciiTheme="minorHAnsi" w:hAnsiTheme="minorHAnsi" w:cstheme="minorHAnsi"/>
                <w:sz w:val="12"/>
                <w:szCs w:val="14"/>
              </w:rPr>
              <w:t>Contract assets</w:t>
            </w:r>
          </w:p>
        </w:tc>
        <w:tc>
          <w:tcPr>
            <w:tcW w:w="1632" w:type="dxa"/>
            <w:tcBorders>
              <w:top w:val="nil"/>
              <w:left w:val="single" w:sz="4" w:space="0" w:color="auto"/>
              <w:bottom w:val="nil"/>
              <w:right w:val="single" w:sz="4" w:space="0" w:color="auto"/>
            </w:tcBorders>
            <w:shd w:val="clear" w:color="auto" w:fill="auto"/>
            <w:vAlign w:val="center"/>
          </w:tcPr>
          <w:p w14:paraId="6A5C341E" w14:textId="77777777" w:rsidR="0044035E" w:rsidRPr="00FE3AF9"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val="en-GB" w:eastAsia="en-GB"/>
              </w:rPr>
            </w:pPr>
            <w:r w:rsidRPr="00FE3AF9">
              <w:rPr>
                <w:rFonts w:asciiTheme="minorHAnsi" w:hAnsiTheme="minorHAnsi" w:cstheme="minorHAnsi"/>
                <w:color w:val="000000"/>
                <w:sz w:val="12"/>
                <w:szCs w:val="12"/>
              </w:rPr>
              <w:t xml:space="preserve">29.0 </w:t>
            </w:r>
          </w:p>
        </w:tc>
        <w:tc>
          <w:tcPr>
            <w:tcW w:w="1642" w:type="dxa"/>
            <w:tcBorders>
              <w:left w:val="single" w:sz="4" w:space="0" w:color="auto"/>
            </w:tcBorders>
            <w:shd w:val="clear" w:color="000000" w:fill="FFFFFF"/>
            <w:vAlign w:val="center"/>
            <w:hideMark/>
          </w:tcPr>
          <w:p w14:paraId="6E486413" w14:textId="77777777" w:rsidR="0044035E" w:rsidRPr="008B014D" w:rsidRDefault="0044035E" w:rsidP="006A1A41">
            <w:pPr>
              <w:spacing w:line="276" w:lineRule="auto"/>
              <w:ind w:firstLineChars="100" w:firstLine="120"/>
              <w:jc w:val="right"/>
              <w:rPr>
                <w:rFonts w:asciiTheme="minorHAnsi" w:eastAsia="Times New Roman" w:hAnsiTheme="minorHAnsi" w:cstheme="minorHAnsi"/>
                <w:sz w:val="12"/>
                <w:szCs w:val="14"/>
                <w:highlight w:val="yellow"/>
                <w:lang w:val="en-GB" w:eastAsia="en-GB"/>
              </w:rPr>
            </w:pPr>
            <w:r w:rsidRPr="008B014D">
              <w:rPr>
                <w:rFonts w:asciiTheme="minorHAnsi" w:hAnsiTheme="minorHAnsi" w:cstheme="minorHAnsi"/>
                <w:sz w:val="12"/>
                <w:szCs w:val="12"/>
              </w:rPr>
              <w:t xml:space="preserve">26.9 </w:t>
            </w:r>
          </w:p>
        </w:tc>
      </w:tr>
      <w:tr w:rsidR="0044035E" w:rsidRPr="008B014D" w14:paraId="45508210" w14:textId="77777777" w:rsidTr="006A1A41">
        <w:trPr>
          <w:trHeight w:val="227"/>
          <w:jc w:val="center"/>
        </w:trPr>
        <w:tc>
          <w:tcPr>
            <w:tcW w:w="3520" w:type="dxa"/>
            <w:tcBorders>
              <w:right w:val="single" w:sz="4" w:space="0" w:color="auto"/>
            </w:tcBorders>
            <w:shd w:val="clear" w:color="auto" w:fill="auto"/>
            <w:vAlign w:val="center"/>
            <w:hideMark/>
          </w:tcPr>
          <w:p w14:paraId="69CDEEF0" w14:textId="77777777" w:rsidR="0044035E" w:rsidRPr="008B014D" w:rsidRDefault="0044035E" w:rsidP="006A1A41">
            <w:pPr>
              <w:spacing w:line="276" w:lineRule="auto"/>
              <w:ind w:firstLineChars="50" w:firstLine="60"/>
              <w:rPr>
                <w:rFonts w:asciiTheme="minorHAnsi" w:eastAsia="Times New Roman" w:hAnsiTheme="minorHAnsi" w:cstheme="minorHAnsi"/>
                <w:sz w:val="12"/>
                <w:szCs w:val="14"/>
                <w:lang w:val="en-GB" w:eastAsia="en-GB"/>
              </w:rPr>
            </w:pPr>
            <w:r w:rsidRPr="008B014D">
              <w:rPr>
                <w:rFonts w:asciiTheme="minorHAnsi" w:hAnsiTheme="minorHAnsi" w:cstheme="minorHAnsi"/>
                <w:sz w:val="12"/>
                <w:szCs w:val="14"/>
              </w:rPr>
              <w:t>Other current assets</w:t>
            </w:r>
          </w:p>
        </w:tc>
        <w:tc>
          <w:tcPr>
            <w:tcW w:w="1632" w:type="dxa"/>
            <w:tcBorders>
              <w:top w:val="nil"/>
              <w:left w:val="single" w:sz="4" w:space="0" w:color="auto"/>
              <w:bottom w:val="nil"/>
              <w:right w:val="single" w:sz="4" w:space="0" w:color="auto"/>
            </w:tcBorders>
            <w:shd w:val="clear" w:color="auto" w:fill="auto"/>
            <w:vAlign w:val="center"/>
          </w:tcPr>
          <w:p w14:paraId="1C546D9E" w14:textId="77777777" w:rsidR="0044035E" w:rsidRPr="00FE3AF9"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val="en-GB" w:eastAsia="en-GB"/>
              </w:rPr>
            </w:pPr>
            <w:r w:rsidRPr="00FE3AF9">
              <w:rPr>
                <w:rFonts w:asciiTheme="minorHAnsi" w:hAnsiTheme="minorHAnsi" w:cstheme="minorHAnsi"/>
                <w:color w:val="000000"/>
                <w:sz w:val="12"/>
                <w:szCs w:val="12"/>
              </w:rPr>
              <w:t xml:space="preserve">302.9 </w:t>
            </w:r>
          </w:p>
        </w:tc>
        <w:tc>
          <w:tcPr>
            <w:tcW w:w="1642" w:type="dxa"/>
            <w:tcBorders>
              <w:left w:val="single" w:sz="4" w:space="0" w:color="auto"/>
            </w:tcBorders>
            <w:shd w:val="clear" w:color="000000" w:fill="FFFFFF"/>
            <w:vAlign w:val="center"/>
            <w:hideMark/>
          </w:tcPr>
          <w:p w14:paraId="6DFE069C" w14:textId="77777777" w:rsidR="0044035E" w:rsidRPr="008B014D" w:rsidRDefault="0044035E" w:rsidP="006A1A41">
            <w:pPr>
              <w:spacing w:line="276" w:lineRule="auto"/>
              <w:ind w:firstLineChars="100" w:firstLine="120"/>
              <w:jc w:val="right"/>
              <w:rPr>
                <w:rFonts w:asciiTheme="minorHAnsi" w:eastAsia="Times New Roman" w:hAnsiTheme="minorHAnsi" w:cstheme="minorHAnsi"/>
                <w:sz w:val="12"/>
                <w:szCs w:val="14"/>
                <w:highlight w:val="yellow"/>
                <w:lang w:val="en-GB" w:eastAsia="en-GB"/>
              </w:rPr>
            </w:pPr>
            <w:r>
              <w:rPr>
                <w:rFonts w:asciiTheme="minorHAnsi" w:hAnsiTheme="minorHAnsi" w:cstheme="minorHAnsi"/>
                <w:sz w:val="12"/>
                <w:szCs w:val="12"/>
              </w:rPr>
              <w:t>378</w:t>
            </w:r>
            <w:r w:rsidRPr="008B014D">
              <w:rPr>
                <w:rFonts w:asciiTheme="minorHAnsi" w:hAnsiTheme="minorHAnsi" w:cstheme="minorHAnsi"/>
                <w:sz w:val="12"/>
                <w:szCs w:val="12"/>
              </w:rPr>
              <w:t>.</w:t>
            </w:r>
            <w:r>
              <w:rPr>
                <w:rFonts w:asciiTheme="minorHAnsi" w:hAnsiTheme="minorHAnsi" w:cstheme="minorHAnsi"/>
                <w:sz w:val="12"/>
                <w:szCs w:val="12"/>
              </w:rPr>
              <w:t>0</w:t>
            </w:r>
            <w:r w:rsidRPr="008B014D">
              <w:rPr>
                <w:rFonts w:asciiTheme="minorHAnsi" w:hAnsiTheme="minorHAnsi" w:cstheme="minorHAnsi"/>
                <w:sz w:val="12"/>
                <w:szCs w:val="12"/>
              </w:rPr>
              <w:t xml:space="preserve"> </w:t>
            </w:r>
          </w:p>
        </w:tc>
      </w:tr>
      <w:tr w:rsidR="0044035E" w:rsidRPr="008B014D" w14:paraId="7F253779" w14:textId="77777777" w:rsidTr="006A1A41">
        <w:trPr>
          <w:trHeight w:val="227"/>
          <w:jc w:val="center"/>
        </w:trPr>
        <w:tc>
          <w:tcPr>
            <w:tcW w:w="3520" w:type="dxa"/>
            <w:tcBorders>
              <w:right w:val="single" w:sz="4" w:space="0" w:color="auto"/>
            </w:tcBorders>
            <w:shd w:val="clear" w:color="auto" w:fill="auto"/>
            <w:vAlign w:val="center"/>
            <w:hideMark/>
          </w:tcPr>
          <w:p w14:paraId="3C9A6F29" w14:textId="77777777" w:rsidR="0044035E" w:rsidRPr="008B014D" w:rsidRDefault="0044035E" w:rsidP="006A1A41">
            <w:pPr>
              <w:spacing w:line="276" w:lineRule="auto"/>
              <w:ind w:firstLineChars="50" w:firstLine="60"/>
              <w:rPr>
                <w:rFonts w:asciiTheme="minorHAnsi" w:eastAsia="Times New Roman" w:hAnsiTheme="minorHAnsi" w:cstheme="minorHAnsi"/>
                <w:b/>
                <w:bCs/>
                <w:sz w:val="12"/>
                <w:szCs w:val="14"/>
                <w:lang w:val="en-GB" w:eastAsia="en-GB"/>
              </w:rPr>
            </w:pPr>
            <w:r w:rsidRPr="008B014D">
              <w:rPr>
                <w:rFonts w:asciiTheme="minorHAnsi" w:hAnsiTheme="minorHAnsi" w:cstheme="minorHAnsi"/>
                <w:b/>
                <w:bCs/>
                <w:sz w:val="12"/>
                <w:szCs w:val="14"/>
              </w:rPr>
              <w:t>Total current assets</w:t>
            </w:r>
          </w:p>
        </w:tc>
        <w:tc>
          <w:tcPr>
            <w:tcW w:w="1632" w:type="dxa"/>
            <w:tcBorders>
              <w:top w:val="nil"/>
              <w:left w:val="single" w:sz="4" w:space="0" w:color="auto"/>
              <w:bottom w:val="nil"/>
              <w:right w:val="single" w:sz="4" w:space="0" w:color="auto"/>
            </w:tcBorders>
            <w:shd w:val="clear" w:color="auto" w:fill="auto"/>
            <w:vAlign w:val="center"/>
          </w:tcPr>
          <w:p w14:paraId="0BA75F73" w14:textId="77777777" w:rsidR="0044035E" w:rsidRPr="00FE3AF9" w:rsidRDefault="0044035E" w:rsidP="006A1A41">
            <w:pPr>
              <w:spacing w:line="276" w:lineRule="auto"/>
              <w:ind w:firstLineChars="100" w:firstLine="120"/>
              <w:jc w:val="right"/>
              <w:rPr>
                <w:rFonts w:asciiTheme="minorHAnsi" w:eastAsia="Times New Roman" w:hAnsiTheme="minorHAnsi" w:cstheme="minorHAnsi"/>
                <w:b/>
                <w:bCs/>
                <w:sz w:val="12"/>
                <w:szCs w:val="12"/>
                <w:highlight w:val="yellow"/>
                <w:lang w:val="en-GB" w:eastAsia="en-GB"/>
              </w:rPr>
            </w:pPr>
            <w:r w:rsidRPr="00FE3AF9">
              <w:rPr>
                <w:rFonts w:asciiTheme="minorHAnsi" w:hAnsiTheme="minorHAnsi" w:cstheme="minorHAnsi"/>
                <w:b/>
                <w:bCs/>
                <w:color w:val="000000"/>
                <w:sz w:val="12"/>
                <w:szCs w:val="12"/>
              </w:rPr>
              <w:t xml:space="preserve">3,696.8 </w:t>
            </w:r>
          </w:p>
        </w:tc>
        <w:tc>
          <w:tcPr>
            <w:tcW w:w="1642" w:type="dxa"/>
            <w:tcBorders>
              <w:left w:val="single" w:sz="4" w:space="0" w:color="auto"/>
            </w:tcBorders>
            <w:shd w:val="clear" w:color="auto" w:fill="auto"/>
            <w:vAlign w:val="center"/>
            <w:hideMark/>
          </w:tcPr>
          <w:p w14:paraId="2F05734E" w14:textId="77777777" w:rsidR="0044035E" w:rsidRPr="008B014D" w:rsidRDefault="0044035E" w:rsidP="006A1A41">
            <w:pPr>
              <w:spacing w:line="276" w:lineRule="auto"/>
              <w:ind w:firstLineChars="100" w:firstLine="120"/>
              <w:jc w:val="right"/>
              <w:rPr>
                <w:rFonts w:asciiTheme="minorHAnsi" w:eastAsia="Times New Roman" w:hAnsiTheme="minorHAnsi" w:cstheme="minorHAnsi"/>
                <w:b/>
                <w:bCs/>
                <w:sz w:val="12"/>
                <w:szCs w:val="14"/>
                <w:highlight w:val="yellow"/>
                <w:lang w:val="en-GB" w:eastAsia="en-GB"/>
              </w:rPr>
            </w:pPr>
            <w:r w:rsidRPr="008B014D">
              <w:rPr>
                <w:rFonts w:asciiTheme="minorHAnsi" w:hAnsiTheme="minorHAnsi" w:cstheme="minorHAnsi"/>
                <w:b/>
                <w:bCs/>
                <w:sz w:val="12"/>
                <w:szCs w:val="12"/>
              </w:rPr>
              <w:t xml:space="preserve">3,669.0 </w:t>
            </w:r>
          </w:p>
        </w:tc>
      </w:tr>
      <w:tr w:rsidR="0044035E" w:rsidRPr="008B014D" w14:paraId="725A89C2" w14:textId="77777777" w:rsidTr="006A1A41">
        <w:trPr>
          <w:trHeight w:val="227"/>
          <w:jc w:val="center"/>
        </w:trPr>
        <w:tc>
          <w:tcPr>
            <w:tcW w:w="3520" w:type="dxa"/>
            <w:tcBorders>
              <w:right w:val="single" w:sz="4" w:space="0" w:color="auto"/>
            </w:tcBorders>
            <w:shd w:val="clear" w:color="auto" w:fill="auto"/>
            <w:vAlign w:val="center"/>
            <w:hideMark/>
          </w:tcPr>
          <w:p w14:paraId="51CE0961" w14:textId="77777777" w:rsidR="0044035E" w:rsidRPr="008B014D" w:rsidRDefault="0044035E" w:rsidP="006A1A41">
            <w:pPr>
              <w:spacing w:line="276" w:lineRule="auto"/>
              <w:ind w:firstLineChars="50" w:firstLine="60"/>
              <w:rPr>
                <w:rFonts w:asciiTheme="minorHAnsi" w:eastAsia="Times New Roman" w:hAnsiTheme="minorHAnsi" w:cstheme="minorHAnsi"/>
                <w:sz w:val="12"/>
                <w:szCs w:val="14"/>
                <w:lang w:val="en-GB" w:eastAsia="en-GB"/>
              </w:rPr>
            </w:pPr>
            <w:r w:rsidRPr="008B014D">
              <w:rPr>
                <w:rFonts w:asciiTheme="minorHAnsi" w:hAnsiTheme="minorHAnsi" w:cstheme="minorHAnsi"/>
                <w:sz w:val="12"/>
                <w:szCs w:val="14"/>
              </w:rPr>
              <w:t>Property and equipment, net</w:t>
            </w:r>
          </w:p>
        </w:tc>
        <w:tc>
          <w:tcPr>
            <w:tcW w:w="1632" w:type="dxa"/>
            <w:tcBorders>
              <w:top w:val="nil"/>
              <w:left w:val="single" w:sz="4" w:space="0" w:color="auto"/>
              <w:bottom w:val="nil"/>
              <w:right w:val="single" w:sz="4" w:space="0" w:color="auto"/>
            </w:tcBorders>
            <w:shd w:val="clear" w:color="auto" w:fill="auto"/>
            <w:vAlign w:val="center"/>
          </w:tcPr>
          <w:p w14:paraId="684AA1C8" w14:textId="77777777" w:rsidR="0044035E" w:rsidRPr="00FE3AF9"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val="en-GB" w:eastAsia="en-GB"/>
              </w:rPr>
            </w:pPr>
            <w:r w:rsidRPr="00FE3AF9">
              <w:rPr>
                <w:rFonts w:asciiTheme="minorHAnsi" w:hAnsiTheme="minorHAnsi" w:cstheme="minorHAnsi"/>
                <w:color w:val="000000"/>
                <w:sz w:val="12"/>
                <w:szCs w:val="12"/>
              </w:rPr>
              <w:t xml:space="preserve">920.2 </w:t>
            </w:r>
          </w:p>
        </w:tc>
        <w:tc>
          <w:tcPr>
            <w:tcW w:w="1642" w:type="dxa"/>
            <w:tcBorders>
              <w:left w:val="single" w:sz="4" w:space="0" w:color="auto"/>
            </w:tcBorders>
            <w:shd w:val="clear" w:color="000000" w:fill="FFFFFF"/>
            <w:vAlign w:val="center"/>
            <w:hideMark/>
          </w:tcPr>
          <w:p w14:paraId="122D63CE" w14:textId="77777777" w:rsidR="0044035E" w:rsidRPr="008B014D" w:rsidRDefault="0044035E" w:rsidP="006A1A41">
            <w:pPr>
              <w:spacing w:line="276" w:lineRule="auto"/>
              <w:ind w:firstLineChars="100" w:firstLine="120"/>
              <w:jc w:val="right"/>
              <w:rPr>
                <w:rFonts w:asciiTheme="minorHAnsi" w:eastAsia="Times New Roman" w:hAnsiTheme="minorHAnsi" w:cstheme="minorHAnsi"/>
                <w:sz w:val="12"/>
                <w:szCs w:val="14"/>
                <w:highlight w:val="yellow"/>
                <w:lang w:val="en-GB" w:eastAsia="en-GB"/>
              </w:rPr>
            </w:pPr>
            <w:r w:rsidRPr="008B014D">
              <w:rPr>
                <w:rFonts w:asciiTheme="minorHAnsi" w:hAnsiTheme="minorHAnsi" w:cstheme="minorHAnsi"/>
                <w:sz w:val="12"/>
                <w:szCs w:val="12"/>
              </w:rPr>
              <w:t xml:space="preserve">899.7 </w:t>
            </w:r>
          </w:p>
        </w:tc>
      </w:tr>
      <w:tr w:rsidR="0044035E" w:rsidRPr="008B014D" w14:paraId="6342A539" w14:textId="77777777" w:rsidTr="006A1A41">
        <w:trPr>
          <w:trHeight w:val="227"/>
          <w:jc w:val="center"/>
        </w:trPr>
        <w:tc>
          <w:tcPr>
            <w:tcW w:w="3520" w:type="dxa"/>
            <w:tcBorders>
              <w:right w:val="single" w:sz="4" w:space="0" w:color="auto"/>
            </w:tcBorders>
            <w:shd w:val="clear" w:color="auto" w:fill="auto"/>
            <w:vAlign w:val="center"/>
            <w:hideMark/>
          </w:tcPr>
          <w:p w14:paraId="1663D2F6" w14:textId="77777777" w:rsidR="0044035E" w:rsidRPr="008B014D" w:rsidRDefault="0044035E" w:rsidP="006A1A41">
            <w:pPr>
              <w:spacing w:line="276" w:lineRule="auto"/>
              <w:ind w:firstLineChars="50" w:firstLine="60"/>
              <w:rPr>
                <w:rFonts w:asciiTheme="minorHAnsi" w:eastAsia="Times New Roman" w:hAnsiTheme="minorHAnsi" w:cstheme="minorHAnsi"/>
                <w:sz w:val="12"/>
                <w:szCs w:val="14"/>
                <w:lang w:val="en-GB" w:eastAsia="en-GB"/>
              </w:rPr>
            </w:pPr>
            <w:r w:rsidRPr="008B014D">
              <w:rPr>
                <w:rFonts w:asciiTheme="minorHAnsi" w:hAnsiTheme="minorHAnsi" w:cstheme="minorHAnsi"/>
                <w:sz w:val="12"/>
                <w:szCs w:val="14"/>
              </w:rPr>
              <w:t>Goodwill and Intangible assets, net</w:t>
            </w:r>
          </w:p>
        </w:tc>
        <w:tc>
          <w:tcPr>
            <w:tcW w:w="1632" w:type="dxa"/>
            <w:tcBorders>
              <w:top w:val="nil"/>
              <w:left w:val="single" w:sz="4" w:space="0" w:color="auto"/>
              <w:bottom w:val="nil"/>
              <w:right w:val="single" w:sz="4" w:space="0" w:color="auto"/>
            </w:tcBorders>
            <w:shd w:val="clear" w:color="auto" w:fill="auto"/>
            <w:vAlign w:val="center"/>
          </w:tcPr>
          <w:p w14:paraId="0EA0E809" w14:textId="77777777" w:rsidR="0044035E" w:rsidRPr="00FE3AF9"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val="en-GB" w:eastAsia="en-GB"/>
              </w:rPr>
            </w:pPr>
            <w:r w:rsidRPr="00FE3AF9">
              <w:rPr>
                <w:rFonts w:asciiTheme="minorHAnsi" w:hAnsiTheme="minorHAnsi" w:cstheme="minorHAnsi"/>
                <w:color w:val="000000"/>
                <w:sz w:val="12"/>
                <w:szCs w:val="12"/>
              </w:rPr>
              <w:t xml:space="preserve">8,771.8 </w:t>
            </w:r>
          </w:p>
        </w:tc>
        <w:tc>
          <w:tcPr>
            <w:tcW w:w="1642" w:type="dxa"/>
            <w:tcBorders>
              <w:left w:val="single" w:sz="4" w:space="0" w:color="auto"/>
            </w:tcBorders>
            <w:shd w:val="clear" w:color="000000" w:fill="FFFFFF"/>
            <w:vAlign w:val="center"/>
            <w:hideMark/>
          </w:tcPr>
          <w:p w14:paraId="4DF24B61" w14:textId="77777777" w:rsidR="0044035E" w:rsidRPr="008B014D" w:rsidRDefault="0044035E" w:rsidP="006A1A41">
            <w:pPr>
              <w:spacing w:line="276" w:lineRule="auto"/>
              <w:ind w:firstLineChars="100" w:firstLine="120"/>
              <w:jc w:val="right"/>
              <w:rPr>
                <w:rFonts w:asciiTheme="minorHAnsi" w:eastAsia="Times New Roman" w:hAnsiTheme="minorHAnsi" w:cstheme="minorHAnsi"/>
                <w:sz w:val="12"/>
                <w:szCs w:val="14"/>
                <w:highlight w:val="yellow"/>
                <w:lang w:val="en-GB" w:eastAsia="en-GB"/>
              </w:rPr>
            </w:pPr>
            <w:r w:rsidRPr="008B014D">
              <w:rPr>
                <w:rFonts w:asciiTheme="minorHAnsi" w:hAnsiTheme="minorHAnsi" w:cstheme="minorHAnsi"/>
                <w:sz w:val="12"/>
                <w:szCs w:val="12"/>
              </w:rPr>
              <w:t xml:space="preserve">8,917.0 </w:t>
            </w:r>
          </w:p>
        </w:tc>
      </w:tr>
      <w:tr w:rsidR="0044035E" w:rsidRPr="008B014D" w14:paraId="3BD40286" w14:textId="77777777" w:rsidTr="006A1A41">
        <w:trPr>
          <w:trHeight w:val="227"/>
          <w:jc w:val="center"/>
        </w:trPr>
        <w:tc>
          <w:tcPr>
            <w:tcW w:w="3520" w:type="dxa"/>
            <w:tcBorders>
              <w:right w:val="single" w:sz="4" w:space="0" w:color="auto"/>
            </w:tcBorders>
            <w:shd w:val="clear" w:color="auto" w:fill="auto"/>
            <w:vAlign w:val="center"/>
            <w:hideMark/>
          </w:tcPr>
          <w:p w14:paraId="0EC96582" w14:textId="77777777" w:rsidR="0044035E" w:rsidRPr="008B014D" w:rsidRDefault="0044035E" w:rsidP="006A1A41">
            <w:pPr>
              <w:spacing w:line="276" w:lineRule="auto"/>
              <w:ind w:firstLineChars="50" w:firstLine="60"/>
              <w:rPr>
                <w:rFonts w:asciiTheme="minorHAnsi" w:eastAsia="Times New Roman" w:hAnsiTheme="minorHAnsi" w:cstheme="minorHAnsi"/>
                <w:sz w:val="12"/>
                <w:szCs w:val="14"/>
                <w:lang w:val="en-GB" w:eastAsia="en-GB"/>
              </w:rPr>
            </w:pPr>
            <w:r w:rsidRPr="008B014D">
              <w:rPr>
                <w:rFonts w:asciiTheme="minorHAnsi" w:hAnsiTheme="minorHAnsi" w:cstheme="minorHAnsi"/>
                <w:sz w:val="12"/>
                <w:szCs w:val="14"/>
              </w:rPr>
              <w:t>Other non-current assets</w:t>
            </w:r>
          </w:p>
        </w:tc>
        <w:tc>
          <w:tcPr>
            <w:tcW w:w="1632" w:type="dxa"/>
            <w:tcBorders>
              <w:top w:val="nil"/>
              <w:left w:val="single" w:sz="4" w:space="0" w:color="auto"/>
              <w:bottom w:val="nil"/>
              <w:right w:val="single" w:sz="4" w:space="0" w:color="auto"/>
            </w:tcBorders>
            <w:shd w:val="clear" w:color="auto" w:fill="auto"/>
            <w:vAlign w:val="center"/>
          </w:tcPr>
          <w:p w14:paraId="5F47F1FC" w14:textId="77777777" w:rsidR="0044035E" w:rsidRPr="00FE3AF9"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val="en-GB" w:eastAsia="en-GB"/>
              </w:rPr>
            </w:pPr>
            <w:r w:rsidRPr="00FE3AF9">
              <w:rPr>
                <w:rFonts w:asciiTheme="minorHAnsi" w:hAnsiTheme="minorHAnsi" w:cstheme="minorHAnsi"/>
                <w:color w:val="000000"/>
                <w:sz w:val="12"/>
                <w:szCs w:val="12"/>
              </w:rPr>
              <w:t xml:space="preserve">418.1 </w:t>
            </w:r>
          </w:p>
        </w:tc>
        <w:tc>
          <w:tcPr>
            <w:tcW w:w="1642" w:type="dxa"/>
            <w:tcBorders>
              <w:left w:val="single" w:sz="4" w:space="0" w:color="auto"/>
            </w:tcBorders>
            <w:shd w:val="clear" w:color="000000" w:fill="FFFFFF"/>
            <w:vAlign w:val="center"/>
            <w:hideMark/>
          </w:tcPr>
          <w:p w14:paraId="661B2E81" w14:textId="77777777" w:rsidR="0044035E" w:rsidRPr="008B014D" w:rsidRDefault="0044035E" w:rsidP="006A1A41">
            <w:pPr>
              <w:spacing w:line="276" w:lineRule="auto"/>
              <w:ind w:firstLineChars="100" w:firstLine="120"/>
              <w:jc w:val="right"/>
              <w:rPr>
                <w:rFonts w:asciiTheme="minorHAnsi" w:eastAsia="Times New Roman" w:hAnsiTheme="minorHAnsi" w:cstheme="minorHAnsi"/>
                <w:sz w:val="12"/>
                <w:szCs w:val="14"/>
                <w:highlight w:val="yellow"/>
                <w:lang w:val="en-GB" w:eastAsia="en-GB"/>
              </w:rPr>
            </w:pPr>
            <w:r w:rsidRPr="008B014D">
              <w:rPr>
                <w:rFonts w:asciiTheme="minorHAnsi" w:hAnsiTheme="minorHAnsi" w:cstheme="minorHAnsi"/>
                <w:sz w:val="12"/>
                <w:szCs w:val="12"/>
              </w:rPr>
              <w:t xml:space="preserve">386.9 </w:t>
            </w:r>
          </w:p>
        </w:tc>
      </w:tr>
      <w:tr w:rsidR="0044035E" w:rsidRPr="008B014D" w14:paraId="57E54683" w14:textId="77777777" w:rsidTr="006A1A41">
        <w:trPr>
          <w:trHeight w:val="227"/>
          <w:jc w:val="center"/>
        </w:trPr>
        <w:tc>
          <w:tcPr>
            <w:tcW w:w="3520" w:type="dxa"/>
            <w:tcBorders>
              <w:bottom w:val="nil"/>
              <w:right w:val="single" w:sz="4" w:space="0" w:color="auto"/>
            </w:tcBorders>
            <w:shd w:val="clear" w:color="auto" w:fill="auto"/>
            <w:vAlign w:val="center"/>
          </w:tcPr>
          <w:p w14:paraId="4F71AB97" w14:textId="77777777" w:rsidR="0044035E" w:rsidRPr="008B014D" w:rsidRDefault="0044035E" w:rsidP="006A1A41">
            <w:pPr>
              <w:spacing w:line="276" w:lineRule="auto"/>
              <w:ind w:firstLineChars="50" w:firstLine="60"/>
              <w:rPr>
                <w:rFonts w:asciiTheme="minorHAnsi" w:hAnsiTheme="minorHAnsi" w:cstheme="minorHAnsi"/>
                <w:b/>
                <w:sz w:val="12"/>
                <w:szCs w:val="14"/>
              </w:rPr>
            </w:pPr>
            <w:r w:rsidRPr="008B014D">
              <w:rPr>
                <w:rFonts w:asciiTheme="minorHAnsi" w:hAnsiTheme="minorHAnsi" w:cstheme="minorHAnsi"/>
                <w:b/>
                <w:sz w:val="12"/>
                <w:szCs w:val="14"/>
              </w:rPr>
              <w:t>Total non-current assets</w:t>
            </w:r>
          </w:p>
        </w:tc>
        <w:tc>
          <w:tcPr>
            <w:tcW w:w="1632" w:type="dxa"/>
            <w:tcBorders>
              <w:top w:val="nil"/>
              <w:left w:val="single" w:sz="4" w:space="0" w:color="auto"/>
              <w:bottom w:val="single" w:sz="4" w:space="0" w:color="auto"/>
              <w:right w:val="single" w:sz="4" w:space="0" w:color="auto"/>
            </w:tcBorders>
            <w:shd w:val="clear" w:color="auto" w:fill="auto"/>
            <w:vAlign w:val="center"/>
          </w:tcPr>
          <w:p w14:paraId="56D0A2AF" w14:textId="77777777" w:rsidR="0044035E" w:rsidRPr="00FE3AF9" w:rsidRDefault="0044035E" w:rsidP="006A1A41">
            <w:pPr>
              <w:spacing w:line="276" w:lineRule="auto"/>
              <w:ind w:firstLineChars="100" w:firstLine="120"/>
              <w:jc w:val="right"/>
              <w:rPr>
                <w:rFonts w:asciiTheme="minorHAnsi" w:hAnsiTheme="minorHAnsi" w:cstheme="minorHAnsi"/>
                <w:b/>
                <w:sz w:val="12"/>
                <w:szCs w:val="12"/>
              </w:rPr>
            </w:pPr>
            <w:r w:rsidRPr="00FE3AF9">
              <w:rPr>
                <w:rFonts w:asciiTheme="minorHAnsi" w:hAnsiTheme="minorHAnsi" w:cstheme="minorHAnsi"/>
                <w:b/>
                <w:bCs/>
                <w:color w:val="000000"/>
                <w:sz w:val="12"/>
                <w:szCs w:val="12"/>
              </w:rPr>
              <w:t xml:space="preserve">10,110.2 </w:t>
            </w:r>
          </w:p>
        </w:tc>
        <w:tc>
          <w:tcPr>
            <w:tcW w:w="1642" w:type="dxa"/>
            <w:tcBorders>
              <w:left w:val="single" w:sz="4" w:space="0" w:color="auto"/>
              <w:bottom w:val="single" w:sz="4" w:space="0" w:color="auto"/>
            </w:tcBorders>
            <w:shd w:val="clear" w:color="auto" w:fill="auto"/>
            <w:vAlign w:val="center"/>
          </w:tcPr>
          <w:p w14:paraId="1CFE03D2" w14:textId="77777777" w:rsidR="0044035E" w:rsidRPr="008B014D" w:rsidRDefault="0044035E" w:rsidP="006A1A41">
            <w:pPr>
              <w:spacing w:line="276" w:lineRule="auto"/>
              <w:ind w:firstLineChars="100" w:firstLine="120"/>
              <w:jc w:val="right"/>
              <w:rPr>
                <w:rFonts w:asciiTheme="minorHAnsi" w:hAnsiTheme="minorHAnsi" w:cstheme="minorHAnsi"/>
                <w:b/>
                <w:sz w:val="12"/>
                <w:szCs w:val="14"/>
              </w:rPr>
            </w:pPr>
            <w:r w:rsidRPr="008B014D">
              <w:rPr>
                <w:rFonts w:asciiTheme="minorHAnsi" w:hAnsiTheme="minorHAnsi" w:cstheme="minorHAnsi"/>
                <w:b/>
                <w:bCs/>
                <w:sz w:val="12"/>
                <w:szCs w:val="12"/>
              </w:rPr>
              <w:t xml:space="preserve">10,203.7 </w:t>
            </w:r>
          </w:p>
        </w:tc>
      </w:tr>
      <w:tr w:rsidR="0044035E" w:rsidRPr="008B014D" w14:paraId="0646BD2B" w14:textId="77777777" w:rsidTr="006A1A41">
        <w:trPr>
          <w:trHeight w:val="227"/>
          <w:jc w:val="center"/>
        </w:trPr>
        <w:tc>
          <w:tcPr>
            <w:tcW w:w="3520" w:type="dxa"/>
            <w:tcBorders>
              <w:top w:val="nil"/>
              <w:bottom w:val="single" w:sz="4" w:space="0" w:color="auto"/>
              <w:right w:val="single" w:sz="4" w:space="0" w:color="auto"/>
            </w:tcBorders>
            <w:shd w:val="clear" w:color="auto" w:fill="auto"/>
            <w:vAlign w:val="center"/>
            <w:hideMark/>
          </w:tcPr>
          <w:p w14:paraId="11CEE469" w14:textId="77777777" w:rsidR="0044035E" w:rsidRPr="008B014D" w:rsidRDefault="0044035E" w:rsidP="006A1A41">
            <w:pPr>
              <w:spacing w:line="276" w:lineRule="auto"/>
              <w:ind w:firstLineChars="50" w:firstLine="60"/>
              <w:rPr>
                <w:rFonts w:asciiTheme="minorHAnsi" w:eastAsia="Times New Roman" w:hAnsiTheme="minorHAnsi" w:cstheme="minorHAnsi"/>
                <w:b/>
                <w:bCs/>
                <w:sz w:val="12"/>
                <w:szCs w:val="14"/>
                <w:lang w:val="en-GB" w:eastAsia="en-GB"/>
              </w:rPr>
            </w:pPr>
            <w:r w:rsidRPr="008B014D">
              <w:rPr>
                <w:rFonts w:asciiTheme="minorHAnsi" w:hAnsiTheme="minorHAnsi" w:cstheme="minorHAnsi"/>
                <w:b/>
                <w:bCs/>
                <w:sz w:val="12"/>
                <w:szCs w:val="14"/>
              </w:rPr>
              <w:t>Total Assets</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491D5B4C" w14:textId="77777777" w:rsidR="0044035E" w:rsidRPr="00FE3AF9" w:rsidRDefault="0044035E" w:rsidP="006A1A41">
            <w:pPr>
              <w:spacing w:line="276" w:lineRule="auto"/>
              <w:ind w:firstLineChars="100" w:firstLine="120"/>
              <w:jc w:val="right"/>
              <w:rPr>
                <w:rFonts w:asciiTheme="minorHAnsi" w:eastAsia="Times New Roman" w:hAnsiTheme="minorHAnsi" w:cstheme="minorHAnsi"/>
                <w:b/>
                <w:bCs/>
                <w:sz w:val="12"/>
                <w:szCs w:val="12"/>
                <w:highlight w:val="yellow"/>
                <w:lang w:val="en-GB" w:eastAsia="en-GB"/>
              </w:rPr>
            </w:pPr>
            <w:r w:rsidRPr="00FE3AF9">
              <w:rPr>
                <w:rFonts w:asciiTheme="minorHAnsi" w:hAnsiTheme="minorHAnsi" w:cstheme="minorHAnsi"/>
                <w:b/>
                <w:bCs/>
                <w:color w:val="000000"/>
                <w:sz w:val="12"/>
                <w:szCs w:val="12"/>
              </w:rPr>
              <w:t xml:space="preserve">€ 13,807.0 </w:t>
            </w:r>
          </w:p>
        </w:tc>
        <w:tc>
          <w:tcPr>
            <w:tcW w:w="1642" w:type="dxa"/>
            <w:tcBorders>
              <w:top w:val="single" w:sz="4" w:space="0" w:color="auto"/>
              <w:left w:val="single" w:sz="4" w:space="0" w:color="auto"/>
              <w:bottom w:val="single" w:sz="4" w:space="0" w:color="auto"/>
            </w:tcBorders>
            <w:shd w:val="clear" w:color="auto" w:fill="auto"/>
            <w:vAlign w:val="center"/>
            <w:hideMark/>
          </w:tcPr>
          <w:p w14:paraId="06445392" w14:textId="77777777" w:rsidR="0044035E" w:rsidRPr="008B014D" w:rsidRDefault="0044035E" w:rsidP="006A1A41">
            <w:pPr>
              <w:spacing w:line="276" w:lineRule="auto"/>
              <w:ind w:firstLineChars="100" w:firstLine="120"/>
              <w:jc w:val="right"/>
              <w:rPr>
                <w:rFonts w:asciiTheme="minorHAnsi" w:eastAsia="Times New Roman" w:hAnsiTheme="minorHAnsi" w:cstheme="minorHAnsi"/>
                <w:b/>
                <w:bCs/>
                <w:sz w:val="12"/>
                <w:szCs w:val="14"/>
                <w:highlight w:val="yellow"/>
                <w:lang w:val="en-GB" w:eastAsia="en-GB"/>
              </w:rPr>
            </w:pPr>
            <w:r w:rsidRPr="008B014D">
              <w:rPr>
                <w:rFonts w:asciiTheme="minorHAnsi" w:hAnsiTheme="minorHAnsi" w:cstheme="minorHAnsi"/>
                <w:b/>
                <w:bCs/>
                <w:sz w:val="12"/>
                <w:szCs w:val="12"/>
              </w:rPr>
              <w:t xml:space="preserve">€ 13,872.6 </w:t>
            </w:r>
          </w:p>
        </w:tc>
      </w:tr>
      <w:tr w:rsidR="0044035E" w:rsidRPr="008B014D" w14:paraId="59D803BB" w14:textId="77777777" w:rsidTr="006A1A41">
        <w:trPr>
          <w:trHeight w:val="284"/>
          <w:jc w:val="center"/>
        </w:trPr>
        <w:tc>
          <w:tcPr>
            <w:tcW w:w="3520" w:type="dxa"/>
            <w:tcBorders>
              <w:top w:val="single" w:sz="4" w:space="0" w:color="auto"/>
              <w:right w:val="single" w:sz="4" w:space="0" w:color="auto"/>
            </w:tcBorders>
            <w:shd w:val="clear" w:color="auto" w:fill="auto"/>
            <w:vAlign w:val="center"/>
            <w:hideMark/>
          </w:tcPr>
          <w:p w14:paraId="62D3C5C7" w14:textId="77777777" w:rsidR="0044035E" w:rsidRPr="008B014D" w:rsidRDefault="0044035E" w:rsidP="006A1A41">
            <w:pPr>
              <w:spacing w:line="276" w:lineRule="auto"/>
              <w:ind w:firstLineChars="50" w:firstLine="60"/>
              <w:rPr>
                <w:rFonts w:asciiTheme="minorHAnsi" w:eastAsia="Times New Roman" w:hAnsiTheme="minorHAnsi" w:cstheme="minorHAnsi"/>
                <w:b/>
                <w:bCs/>
                <w:sz w:val="12"/>
                <w:szCs w:val="14"/>
                <w:lang w:val="en-GB" w:eastAsia="en-GB"/>
              </w:rPr>
            </w:pPr>
            <w:r>
              <w:rPr>
                <w:rFonts w:asciiTheme="minorHAnsi" w:hAnsiTheme="minorHAnsi" w:cstheme="minorHAnsi"/>
                <w:b/>
                <w:bCs/>
                <w:sz w:val="12"/>
                <w:szCs w:val="14"/>
              </w:rPr>
              <w:t>LIABILITIES AND</w:t>
            </w:r>
            <w:r w:rsidRPr="008B014D">
              <w:rPr>
                <w:rFonts w:asciiTheme="minorHAnsi" w:hAnsiTheme="minorHAnsi" w:cstheme="minorHAnsi"/>
                <w:b/>
                <w:bCs/>
                <w:sz w:val="12"/>
                <w:szCs w:val="14"/>
              </w:rPr>
              <w:t xml:space="preserve"> EQUITY</w:t>
            </w:r>
          </w:p>
        </w:tc>
        <w:tc>
          <w:tcPr>
            <w:tcW w:w="1632" w:type="dxa"/>
            <w:tcBorders>
              <w:top w:val="single" w:sz="4" w:space="0" w:color="auto"/>
              <w:left w:val="single" w:sz="4" w:space="0" w:color="auto"/>
              <w:bottom w:val="nil"/>
              <w:right w:val="single" w:sz="4" w:space="0" w:color="auto"/>
            </w:tcBorders>
            <w:shd w:val="clear" w:color="auto" w:fill="auto"/>
            <w:vAlign w:val="center"/>
          </w:tcPr>
          <w:p w14:paraId="7157551B" w14:textId="77777777" w:rsidR="0044035E" w:rsidRPr="00FE3AF9" w:rsidRDefault="0044035E" w:rsidP="006A1A41">
            <w:pPr>
              <w:spacing w:line="276" w:lineRule="auto"/>
              <w:ind w:firstLineChars="100" w:firstLine="120"/>
              <w:jc w:val="right"/>
              <w:rPr>
                <w:rFonts w:asciiTheme="minorHAnsi" w:eastAsia="Times New Roman" w:hAnsiTheme="minorHAnsi" w:cstheme="minorHAnsi"/>
                <w:b/>
                <w:bCs/>
                <w:sz w:val="12"/>
                <w:szCs w:val="12"/>
                <w:highlight w:val="yellow"/>
                <w:lang w:val="en-GB" w:eastAsia="en-GB"/>
              </w:rPr>
            </w:pPr>
          </w:p>
        </w:tc>
        <w:tc>
          <w:tcPr>
            <w:tcW w:w="1642" w:type="dxa"/>
            <w:tcBorders>
              <w:top w:val="single" w:sz="4" w:space="0" w:color="auto"/>
              <w:left w:val="single" w:sz="4" w:space="0" w:color="auto"/>
            </w:tcBorders>
            <w:shd w:val="clear" w:color="auto" w:fill="auto"/>
            <w:vAlign w:val="center"/>
            <w:hideMark/>
          </w:tcPr>
          <w:p w14:paraId="3E68E9A4" w14:textId="77777777" w:rsidR="0044035E" w:rsidRPr="008B014D" w:rsidRDefault="0044035E" w:rsidP="006A1A41">
            <w:pPr>
              <w:spacing w:line="276" w:lineRule="auto"/>
              <w:ind w:firstLineChars="100" w:firstLine="120"/>
              <w:jc w:val="right"/>
              <w:rPr>
                <w:rFonts w:asciiTheme="minorHAnsi" w:eastAsia="Times New Roman" w:hAnsiTheme="minorHAnsi" w:cstheme="minorHAnsi"/>
                <w:b/>
                <w:bCs/>
                <w:sz w:val="12"/>
                <w:szCs w:val="14"/>
                <w:highlight w:val="yellow"/>
                <w:lang w:val="en-GB" w:eastAsia="en-GB"/>
              </w:rPr>
            </w:pPr>
            <w:r w:rsidRPr="008B014D">
              <w:rPr>
                <w:rFonts w:asciiTheme="minorHAnsi" w:hAnsiTheme="minorHAnsi" w:cstheme="minorHAnsi"/>
                <w:b/>
                <w:bCs/>
                <w:sz w:val="12"/>
                <w:szCs w:val="14"/>
              </w:rPr>
              <w:t> </w:t>
            </w:r>
          </w:p>
        </w:tc>
      </w:tr>
      <w:tr w:rsidR="0044035E" w:rsidRPr="008B014D" w14:paraId="60DF80BA" w14:textId="77777777" w:rsidTr="006A1A41">
        <w:trPr>
          <w:trHeight w:val="227"/>
          <w:jc w:val="center"/>
        </w:trPr>
        <w:tc>
          <w:tcPr>
            <w:tcW w:w="3520" w:type="dxa"/>
            <w:tcBorders>
              <w:right w:val="single" w:sz="4" w:space="0" w:color="auto"/>
            </w:tcBorders>
            <w:shd w:val="clear" w:color="auto" w:fill="auto"/>
            <w:vAlign w:val="center"/>
            <w:hideMark/>
          </w:tcPr>
          <w:p w14:paraId="4F13FDE4" w14:textId="77777777" w:rsidR="0044035E" w:rsidRPr="008B014D" w:rsidRDefault="0044035E" w:rsidP="006A1A41">
            <w:pPr>
              <w:spacing w:line="276" w:lineRule="auto"/>
              <w:ind w:firstLineChars="50" w:firstLine="60"/>
              <w:rPr>
                <w:rFonts w:asciiTheme="minorHAnsi" w:eastAsia="Times New Roman" w:hAnsiTheme="minorHAnsi" w:cstheme="minorHAnsi"/>
                <w:sz w:val="12"/>
                <w:szCs w:val="14"/>
                <w:lang w:val="en-GB" w:eastAsia="en-GB"/>
              </w:rPr>
            </w:pPr>
            <w:r w:rsidRPr="008B014D">
              <w:rPr>
                <w:rFonts w:asciiTheme="minorHAnsi" w:hAnsiTheme="minorHAnsi" w:cstheme="minorHAnsi"/>
                <w:sz w:val="12"/>
                <w:szCs w:val="14"/>
              </w:rPr>
              <w:t>Accounts payable</w:t>
            </w:r>
          </w:p>
        </w:tc>
        <w:tc>
          <w:tcPr>
            <w:tcW w:w="1632" w:type="dxa"/>
            <w:tcBorders>
              <w:top w:val="nil"/>
              <w:left w:val="single" w:sz="4" w:space="0" w:color="auto"/>
              <w:bottom w:val="nil"/>
              <w:right w:val="single" w:sz="4" w:space="0" w:color="auto"/>
            </w:tcBorders>
            <w:shd w:val="clear" w:color="auto" w:fill="auto"/>
            <w:vAlign w:val="center"/>
          </w:tcPr>
          <w:p w14:paraId="4CFFEF51" w14:textId="77777777" w:rsidR="0044035E" w:rsidRPr="00FE3AF9"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val="en-GB" w:eastAsia="en-GB"/>
              </w:rPr>
            </w:pPr>
            <w:r w:rsidRPr="00FE3AF9">
              <w:rPr>
                <w:rFonts w:asciiTheme="minorHAnsi" w:hAnsiTheme="minorHAnsi" w:cstheme="minorHAnsi"/>
                <w:color w:val="000000"/>
                <w:sz w:val="12"/>
                <w:szCs w:val="12"/>
              </w:rPr>
              <w:t xml:space="preserve">148.3 </w:t>
            </w:r>
          </w:p>
        </w:tc>
        <w:tc>
          <w:tcPr>
            <w:tcW w:w="1642" w:type="dxa"/>
            <w:tcBorders>
              <w:left w:val="single" w:sz="4" w:space="0" w:color="auto"/>
            </w:tcBorders>
            <w:shd w:val="clear" w:color="000000" w:fill="FFFFFF"/>
            <w:vAlign w:val="center"/>
            <w:hideMark/>
          </w:tcPr>
          <w:p w14:paraId="118CC7F3" w14:textId="77777777" w:rsidR="0044035E" w:rsidRPr="008B014D" w:rsidRDefault="0044035E" w:rsidP="006A1A41">
            <w:pPr>
              <w:spacing w:line="276" w:lineRule="auto"/>
              <w:ind w:firstLineChars="100" w:firstLine="120"/>
              <w:jc w:val="right"/>
              <w:rPr>
                <w:rFonts w:asciiTheme="minorHAnsi" w:eastAsia="Times New Roman" w:hAnsiTheme="minorHAnsi" w:cstheme="minorHAnsi"/>
                <w:sz w:val="12"/>
                <w:szCs w:val="14"/>
                <w:highlight w:val="yellow"/>
                <w:lang w:val="en-GB" w:eastAsia="en-GB"/>
              </w:rPr>
            </w:pPr>
            <w:r w:rsidRPr="008B014D">
              <w:rPr>
                <w:rFonts w:asciiTheme="minorHAnsi" w:hAnsiTheme="minorHAnsi" w:cstheme="minorHAnsi"/>
                <w:sz w:val="12"/>
                <w:szCs w:val="12"/>
              </w:rPr>
              <w:t xml:space="preserve">220.0 </w:t>
            </w:r>
          </w:p>
        </w:tc>
      </w:tr>
      <w:tr w:rsidR="0044035E" w:rsidRPr="008B014D" w14:paraId="738E9136" w14:textId="77777777" w:rsidTr="006A1A41">
        <w:trPr>
          <w:trHeight w:val="227"/>
          <w:jc w:val="center"/>
        </w:trPr>
        <w:tc>
          <w:tcPr>
            <w:tcW w:w="3520" w:type="dxa"/>
            <w:tcBorders>
              <w:right w:val="single" w:sz="4" w:space="0" w:color="auto"/>
            </w:tcBorders>
            <w:shd w:val="clear" w:color="auto" w:fill="auto"/>
            <w:vAlign w:val="center"/>
            <w:hideMark/>
          </w:tcPr>
          <w:p w14:paraId="795A5C66" w14:textId="77777777" w:rsidR="0044035E" w:rsidRPr="008B014D" w:rsidRDefault="0044035E" w:rsidP="006A1A41">
            <w:pPr>
              <w:spacing w:line="276" w:lineRule="auto"/>
              <w:ind w:firstLineChars="50" w:firstLine="60"/>
              <w:rPr>
                <w:rFonts w:asciiTheme="minorHAnsi" w:eastAsia="Times New Roman" w:hAnsiTheme="minorHAnsi" w:cstheme="minorHAnsi"/>
                <w:sz w:val="12"/>
                <w:szCs w:val="14"/>
                <w:lang w:val="en-GB" w:eastAsia="en-GB"/>
              </w:rPr>
            </w:pPr>
            <w:r w:rsidRPr="008B014D">
              <w:rPr>
                <w:rFonts w:asciiTheme="minorHAnsi" w:hAnsiTheme="minorHAnsi" w:cstheme="minorHAnsi"/>
                <w:sz w:val="12"/>
                <w:szCs w:val="14"/>
              </w:rPr>
              <w:t>Contract liabilities</w:t>
            </w:r>
          </w:p>
        </w:tc>
        <w:tc>
          <w:tcPr>
            <w:tcW w:w="1632" w:type="dxa"/>
            <w:tcBorders>
              <w:top w:val="nil"/>
              <w:left w:val="single" w:sz="4" w:space="0" w:color="auto"/>
              <w:bottom w:val="nil"/>
              <w:right w:val="single" w:sz="4" w:space="0" w:color="auto"/>
            </w:tcBorders>
            <w:shd w:val="clear" w:color="auto" w:fill="auto"/>
            <w:vAlign w:val="center"/>
          </w:tcPr>
          <w:p w14:paraId="1A97A66C" w14:textId="77777777" w:rsidR="0044035E" w:rsidRPr="00FE3AF9"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val="en-GB" w:eastAsia="en-GB"/>
              </w:rPr>
            </w:pPr>
            <w:r w:rsidRPr="00FE3AF9">
              <w:rPr>
                <w:rFonts w:asciiTheme="minorHAnsi" w:hAnsiTheme="minorHAnsi" w:cstheme="minorHAnsi"/>
                <w:color w:val="000000"/>
                <w:sz w:val="12"/>
                <w:szCs w:val="12"/>
              </w:rPr>
              <w:t xml:space="preserve">1,164.1 </w:t>
            </w:r>
          </w:p>
        </w:tc>
        <w:tc>
          <w:tcPr>
            <w:tcW w:w="1642" w:type="dxa"/>
            <w:tcBorders>
              <w:left w:val="single" w:sz="4" w:space="0" w:color="auto"/>
            </w:tcBorders>
            <w:shd w:val="clear" w:color="000000" w:fill="FFFFFF"/>
            <w:vAlign w:val="center"/>
            <w:hideMark/>
          </w:tcPr>
          <w:p w14:paraId="46D85054" w14:textId="77777777" w:rsidR="0044035E" w:rsidRPr="008B014D" w:rsidRDefault="0044035E" w:rsidP="006A1A41">
            <w:pPr>
              <w:spacing w:line="276" w:lineRule="auto"/>
              <w:ind w:firstLineChars="100" w:firstLine="120"/>
              <w:jc w:val="right"/>
              <w:rPr>
                <w:rFonts w:asciiTheme="minorHAnsi" w:eastAsia="Times New Roman" w:hAnsiTheme="minorHAnsi" w:cstheme="minorHAnsi"/>
                <w:sz w:val="12"/>
                <w:szCs w:val="14"/>
                <w:highlight w:val="yellow"/>
                <w:lang w:val="en-GB" w:eastAsia="en-GB"/>
              </w:rPr>
            </w:pPr>
            <w:r w:rsidRPr="008B014D">
              <w:rPr>
                <w:rFonts w:asciiTheme="minorHAnsi" w:hAnsiTheme="minorHAnsi" w:cstheme="minorHAnsi"/>
                <w:sz w:val="12"/>
                <w:szCs w:val="12"/>
              </w:rPr>
              <w:t xml:space="preserve">1,093.5 </w:t>
            </w:r>
          </w:p>
        </w:tc>
      </w:tr>
      <w:tr w:rsidR="0044035E" w:rsidRPr="008B014D" w14:paraId="4FD369E8" w14:textId="77777777" w:rsidTr="006A1A41">
        <w:trPr>
          <w:trHeight w:val="227"/>
          <w:jc w:val="center"/>
        </w:trPr>
        <w:tc>
          <w:tcPr>
            <w:tcW w:w="3520" w:type="dxa"/>
            <w:tcBorders>
              <w:right w:val="single" w:sz="4" w:space="0" w:color="auto"/>
            </w:tcBorders>
            <w:shd w:val="clear" w:color="auto" w:fill="auto"/>
            <w:vAlign w:val="center"/>
            <w:hideMark/>
          </w:tcPr>
          <w:p w14:paraId="3F65B7A2" w14:textId="77777777" w:rsidR="0044035E" w:rsidRPr="008B014D" w:rsidRDefault="0044035E" w:rsidP="006A1A41">
            <w:pPr>
              <w:spacing w:line="276" w:lineRule="auto"/>
              <w:ind w:firstLineChars="50" w:firstLine="60"/>
              <w:outlineLvl w:val="0"/>
              <w:rPr>
                <w:rFonts w:asciiTheme="minorHAnsi" w:eastAsia="Times New Roman" w:hAnsiTheme="minorHAnsi" w:cstheme="minorHAnsi"/>
                <w:sz w:val="12"/>
                <w:szCs w:val="14"/>
                <w:lang w:val="en-GB" w:eastAsia="en-GB"/>
              </w:rPr>
            </w:pPr>
            <w:r w:rsidRPr="008B014D">
              <w:rPr>
                <w:rFonts w:asciiTheme="minorHAnsi" w:hAnsiTheme="minorHAnsi" w:cstheme="minorHAnsi"/>
                <w:sz w:val="12"/>
                <w:szCs w:val="14"/>
              </w:rPr>
              <w:t>Borrowings, current</w:t>
            </w:r>
          </w:p>
        </w:tc>
        <w:tc>
          <w:tcPr>
            <w:tcW w:w="1632" w:type="dxa"/>
            <w:tcBorders>
              <w:top w:val="nil"/>
              <w:left w:val="single" w:sz="4" w:space="0" w:color="auto"/>
              <w:bottom w:val="nil"/>
              <w:right w:val="single" w:sz="4" w:space="0" w:color="auto"/>
            </w:tcBorders>
            <w:shd w:val="clear" w:color="auto" w:fill="auto"/>
            <w:vAlign w:val="center"/>
          </w:tcPr>
          <w:p w14:paraId="3C4294CC" w14:textId="77777777" w:rsidR="0044035E" w:rsidRPr="00FE3AF9" w:rsidRDefault="0044035E" w:rsidP="006A1A41">
            <w:pPr>
              <w:spacing w:line="276" w:lineRule="auto"/>
              <w:ind w:firstLineChars="100" w:firstLine="120"/>
              <w:jc w:val="right"/>
              <w:outlineLvl w:val="0"/>
              <w:rPr>
                <w:rFonts w:asciiTheme="minorHAnsi" w:eastAsia="Times New Roman" w:hAnsiTheme="minorHAnsi" w:cstheme="minorHAnsi"/>
                <w:sz w:val="12"/>
                <w:szCs w:val="12"/>
                <w:highlight w:val="yellow"/>
                <w:lang w:val="en-GB" w:eastAsia="en-GB"/>
              </w:rPr>
            </w:pPr>
            <w:r w:rsidRPr="00FE3AF9">
              <w:rPr>
                <w:rFonts w:asciiTheme="minorHAnsi" w:hAnsiTheme="minorHAnsi" w:cstheme="minorHAnsi"/>
                <w:color w:val="000000"/>
                <w:sz w:val="12"/>
                <w:szCs w:val="12"/>
              </w:rPr>
              <w:t xml:space="preserve">7.8 </w:t>
            </w:r>
          </w:p>
        </w:tc>
        <w:tc>
          <w:tcPr>
            <w:tcW w:w="1642" w:type="dxa"/>
            <w:tcBorders>
              <w:left w:val="single" w:sz="4" w:space="0" w:color="auto"/>
            </w:tcBorders>
            <w:shd w:val="clear" w:color="000000" w:fill="FFFFFF"/>
            <w:vAlign w:val="center"/>
            <w:hideMark/>
          </w:tcPr>
          <w:p w14:paraId="615332DE" w14:textId="77777777" w:rsidR="0044035E" w:rsidRPr="008B014D" w:rsidRDefault="0044035E" w:rsidP="006A1A41">
            <w:pPr>
              <w:spacing w:line="276" w:lineRule="auto"/>
              <w:ind w:firstLineChars="100" w:firstLine="120"/>
              <w:jc w:val="right"/>
              <w:outlineLvl w:val="0"/>
              <w:rPr>
                <w:rFonts w:asciiTheme="minorHAnsi" w:eastAsia="Times New Roman" w:hAnsiTheme="minorHAnsi" w:cstheme="minorHAnsi"/>
                <w:sz w:val="12"/>
                <w:szCs w:val="14"/>
                <w:highlight w:val="yellow"/>
                <w:lang w:val="en-GB" w:eastAsia="en-GB"/>
              </w:rPr>
            </w:pPr>
            <w:r w:rsidRPr="008B014D">
              <w:rPr>
                <w:rFonts w:asciiTheme="minorHAnsi" w:hAnsiTheme="minorHAnsi" w:cstheme="minorHAnsi"/>
                <w:sz w:val="12"/>
                <w:szCs w:val="12"/>
              </w:rPr>
              <w:t xml:space="preserve">4.4 </w:t>
            </w:r>
          </w:p>
        </w:tc>
      </w:tr>
      <w:tr w:rsidR="0044035E" w:rsidRPr="008B014D" w14:paraId="6056DE31" w14:textId="77777777" w:rsidTr="006A1A41">
        <w:trPr>
          <w:trHeight w:val="227"/>
          <w:jc w:val="center"/>
        </w:trPr>
        <w:tc>
          <w:tcPr>
            <w:tcW w:w="3520" w:type="dxa"/>
            <w:tcBorders>
              <w:right w:val="single" w:sz="4" w:space="0" w:color="auto"/>
            </w:tcBorders>
            <w:shd w:val="clear" w:color="auto" w:fill="auto"/>
            <w:vAlign w:val="center"/>
            <w:hideMark/>
          </w:tcPr>
          <w:p w14:paraId="7C92BB66" w14:textId="77777777" w:rsidR="0044035E" w:rsidRPr="008B014D" w:rsidRDefault="0044035E" w:rsidP="006A1A41">
            <w:pPr>
              <w:spacing w:line="276" w:lineRule="auto"/>
              <w:ind w:firstLineChars="50" w:firstLine="60"/>
              <w:rPr>
                <w:rFonts w:asciiTheme="minorHAnsi" w:eastAsia="Times New Roman" w:hAnsiTheme="minorHAnsi" w:cstheme="minorHAnsi"/>
                <w:sz w:val="12"/>
                <w:szCs w:val="14"/>
                <w:lang w:val="en-GB" w:eastAsia="en-GB"/>
              </w:rPr>
            </w:pPr>
            <w:r w:rsidRPr="008B014D">
              <w:rPr>
                <w:rFonts w:asciiTheme="minorHAnsi" w:hAnsiTheme="minorHAnsi" w:cstheme="minorHAnsi"/>
                <w:sz w:val="12"/>
                <w:szCs w:val="14"/>
              </w:rPr>
              <w:t>Other current liabilities</w:t>
            </w:r>
          </w:p>
        </w:tc>
        <w:tc>
          <w:tcPr>
            <w:tcW w:w="1632" w:type="dxa"/>
            <w:tcBorders>
              <w:top w:val="nil"/>
              <w:left w:val="single" w:sz="4" w:space="0" w:color="auto"/>
              <w:bottom w:val="nil"/>
              <w:right w:val="single" w:sz="4" w:space="0" w:color="auto"/>
            </w:tcBorders>
            <w:shd w:val="clear" w:color="auto" w:fill="auto"/>
            <w:vAlign w:val="center"/>
          </w:tcPr>
          <w:p w14:paraId="242C3B42" w14:textId="77777777" w:rsidR="0044035E" w:rsidRPr="00FE3AF9"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val="en-GB" w:eastAsia="en-GB"/>
              </w:rPr>
            </w:pPr>
            <w:r w:rsidRPr="00FE3AF9">
              <w:rPr>
                <w:rFonts w:asciiTheme="minorHAnsi" w:hAnsiTheme="minorHAnsi" w:cstheme="minorHAnsi"/>
                <w:color w:val="000000"/>
                <w:sz w:val="12"/>
                <w:szCs w:val="12"/>
              </w:rPr>
              <w:t xml:space="preserve">732.8 </w:t>
            </w:r>
          </w:p>
        </w:tc>
        <w:tc>
          <w:tcPr>
            <w:tcW w:w="1642" w:type="dxa"/>
            <w:tcBorders>
              <w:left w:val="single" w:sz="4" w:space="0" w:color="auto"/>
            </w:tcBorders>
            <w:shd w:val="clear" w:color="000000" w:fill="FFFFFF"/>
            <w:vAlign w:val="center"/>
            <w:hideMark/>
          </w:tcPr>
          <w:p w14:paraId="4FEA088D" w14:textId="77777777" w:rsidR="0044035E" w:rsidRPr="008B014D" w:rsidRDefault="0044035E" w:rsidP="006A1A41">
            <w:pPr>
              <w:spacing w:line="276" w:lineRule="auto"/>
              <w:ind w:firstLineChars="100" w:firstLine="120"/>
              <w:jc w:val="right"/>
              <w:rPr>
                <w:rFonts w:asciiTheme="minorHAnsi" w:eastAsia="Times New Roman" w:hAnsiTheme="minorHAnsi" w:cstheme="minorHAnsi"/>
                <w:sz w:val="12"/>
                <w:szCs w:val="14"/>
                <w:highlight w:val="yellow"/>
                <w:lang w:val="en-GB" w:eastAsia="en-GB"/>
              </w:rPr>
            </w:pPr>
            <w:r w:rsidRPr="008B014D">
              <w:rPr>
                <w:rFonts w:asciiTheme="minorHAnsi" w:hAnsiTheme="minorHAnsi" w:cstheme="minorHAnsi"/>
                <w:sz w:val="12"/>
                <w:szCs w:val="12"/>
              </w:rPr>
              <w:t xml:space="preserve">816.0 </w:t>
            </w:r>
          </w:p>
        </w:tc>
      </w:tr>
      <w:tr w:rsidR="0044035E" w:rsidRPr="008B014D" w14:paraId="77C86FC6" w14:textId="77777777" w:rsidTr="006A1A41">
        <w:trPr>
          <w:trHeight w:val="227"/>
          <w:jc w:val="center"/>
        </w:trPr>
        <w:tc>
          <w:tcPr>
            <w:tcW w:w="3520" w:type="dxa"/>
            <w:tcBorders>
              <w:right w:val="single" w:sz="4" w:space="0" w:color="auto"/>
            </w:tcBorders>
            <w:shd w:val="clear" w:color="auto" w:fill="auto"/>
            <w:vAlign w:val="center"/>
            <w:hideMark/>
          </w:tcPr>
          <w:p w14:paraId="7F96D6E3" w14:textId="77777777" w:rsidR="0044035E" w:rsidRPr="008B014D" w:rsidRDefault="0044035E" w:rsidP="006A1A41">
            <w:pPr>
              <w:spacing w:line="276" w:lineRule="auto"/>
              <w:ind w:firstLineChars="50" w:firstLine="60"/>
              <w:rPr>
                <w:rFonts w:asciiTheme="minorHAnsi" w:eastAsia="Times New Roman" w:hAnsiTheme="minorHAnsi" w:cstheme="minorHAnsi"/>
                <w:b/>
                <w:bCs/>
                <w:sz w:val="12"/>
                <w:szCs w:val="14"/>
                <w:lang w:val="en-GB" w:eastAsia="en-GB"/>
              </w:rPr>
            </w:pPr>
            <w:r w:rsidRPr="008B014D">
              <w:rPr>
                <w:rFonts w:asciiTheme="minorHAnsi" w:hAnsiTheme="minorHAnsi" w:cstheme="minorHAnsi"/>
                <w:b/>
                <w:bCs/>
                <w:sz w:val="12"/>
                <w:szCs w:val="14"/>
              </w:rPr>
              <w:t>Total current liabilities</w:t>
            </w:r>
          </w:p>
        </w:tc>
        <w:tc>
          <w:tcPr>
            <w:tcW w:w="1632" w:type="dxa"/>
            <w:tcBorders>
              <w:top w:val="nil"/>
              <w:left w:val="single" w:sz="4" w:space="0" w:color="auto"/>
              <w:bottom w:val="nil"/>
              <w:right w:val="single" w:sz="4" w:space="0" w:color="auto"/>
            </w:tcBorders>
            <w:shd w:val="clear" w:color="auto" w:fill="auto"/>
            <w:vAlign w:val="center"/>
          </w:tcPr>
          <w:p w14:paraId="58BEC18B" w14:textId="77777777" w:rsidR="0044035E" w:rsidRPr="00FE3AF9" w:rsidRDefault="0044035E" w:rsidP="006A1A41">
            <w:pPr>
              <w:spacing w:line="276" w:lineRule="auto"/>
              <w:ind w:firstLineChars="100" w:firstLine="120"/>
              <w:jc w:val="right"/>
              <w:rPr>
                <w:rFonts w:asciiTheme="minorHAnsi" w:eastAsia="Times New Roman" w:hAnsiTheme="minorHAnsi" w:cstheme="minorHAnsi"/>
                <w:b/>
                <w:bCs/>
                <w:sz w:val="12"/>
                <w:szCs w:val="12"/>
                <w:highlight w:val="yellow"/>
                <w:lang w:val="en-GB" w:eastAsia="en-GB"/>
              </w:rPr>
            </w:pPr>
            <w:r w:rsidRPr="00FE3AF9">
              <w:rPr>
                <w:rFonts w:asciiTheme="minorHAnsi" w:hAnsiTheme="minorHAnsi" w:cstheme="minorHAnsi"/>
                <w:b/>
                <w:bCs/>
                <w:color w:val="000000"/>
                <w:sz w:val="12"/>
                <w:szCs w:val="12"/>
              </w:rPr>
              <w:t xml:space="preserve">2,053.0 </w:t>
            </w:r>
          </w:p>
        </w:tc>
        <w:tc>
          <w:tcPr>
            <w:tcW w:w="1642" w:type="dxa"/>
            <w:tcBorders>
              <w:left w:val="single" w:sz="4" w:space="0" w:color="auto"/>
            </w:tcBorders>
            <w:shd w:val="clear" w:color="auto" w:fill="auto"/>
            <w:vAlign w:val="center"/>
            <w:hideMark/>
          </w:tcPr>
          <w:p w14:paraId="2913CDBC" w14:textId="77777777" w:rsidR="0044035E" w:rsidRPr="008B014D" w:rsidRDefault="0044035E" w:rsidP="006A1A41">
            <w:pPr>
              <w:spacing w:line="276" w:lineRule="auto"/>
              <w:ind w:firstLineChars="100" w:firstLine="120"/>
              <w:jc w:val="right"/>
              <w:rPr>
                <w:rFonts w:asciiTheme="minorHAnsi" w:eastAsia="Times New Roman" w:hAnsiTheme="minorHAnsi" w:cstheme="minorHAnsi"/>
                <w:b/>
                <w:bCs/>
                <w:sz w:val="12"/>
                <w:szCs w:val="14"/>
                <w:highlight w:val="yellow"/>
                <w:lang w:val="en-GB" w:eastAsia="en-GB"/>
              </w:rPr>
            </w:pPr>
            <w:r w:rsidRPr="008B014D">
              <w:rPr>
                <w:rFonts w:asciiTheme="minorHAnsi" w:hAnsiTheme="minorHAnsi" w:cstheme="minorHAnsi"/>
                <w:b/>
                <w:bCs/>
                <w:sz w:val="12"/>
                <w:szCs w:val="12"/>
              </w:rPr>
              <w:t xml:space="preserve">2,133.8 </w:t>
            </w:r>
          </w:p>
        </w:tc>
      </w:tr>
      <w:tr w:rsidR="0044035E" w:rsidRPr="008B014D" w14:paraId="73852284" w14:textId="77777777" w:rsidTr="006A1A41">
        <w:trPr>
          <w:trHeight w:val="227"/>
          <w:jc w:val="center"/>
        </w:trPr>
        <w:tc>
          <w:tcPr>
            <w:tcW w:w="3520" w:type="dxa"/>
            <w:tcBorders>
              <w:right w:val="single" w:sz="4" w:space="0" w:color="auto"/>
            </w:tcBorders>
            <w:shd w:val="clear" w:color="auto" w:fill="auto"/>
            <w:vAlign w:val="center"/>
            <w:hideMark/>
          </w:tcPr>
          <w:p w14:paraId="5F74EDE6" w14:textId="77777777" w:rsidR="0044035E" w:rsidRPr="008B014D" w:rsidRDefault="0044035E" w:rsidP="006A1A41">
            <w:pPr>
              <w:spacing w:line="276" w:lineRule="auto"/>
              <w:ind w:firstLineChars="50" w:firstLine="60"/>
              <w:rPr>
                <w:rFonts w:asciiTheme="minorHAnsi" w:eastAsia="Times New Roman" w:hAnsiTheme="minorHAnsi" w:cstheme="minorHAnsi"/>
                <w:sz w:val="12"/>
                <w:szCs w:val="14"/>
                <w:lang w:val="en-GB" w:eastAsia="en-GB"/>
              </w:rPr>
            </w:pPr>
            <w:r w:rsidRPr="008B014D">
              <w:rPr>
                <w:rFonts w:asciiTheme="minorHAnsi" w:hAnsiTheme="minorHAnsi" w:cstheme="minorHAnsi"/>
                <w:sz w:val="12"/>
                <w:szCs w:val="14"/>
              </w:rPr>
              <w:t>Borrowings, non-current</w:t>
            </w:r>
          </w:p>
        </w:tc>
        <w:tc>
          <w:tcPr>
            <w:tcW w:w="1632" w:type="dxa"/>
            <w:tcBorders>
              <w:top w:val="nil"/>
              <w:left w:val="single" w:sz="4" w:space="0" w:color="auto"/>
              <w:bottom w:val="nil"/>
              <w:right w:val="single" w:sz="4" w:space="0" w:color="auto"/>
            </w:tcBorders>
            <w:shd w:val="clear" w:color="auto" w:fill="auto"/>
            <w:vAlign w:val="center"/>
          </w:tcPr>
          <w:p w14:paraId="23D76AD8" w14:textId="77777777" w:rsidR="0044035E" w:rsidRPr="00FE3AF9"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val="en-GB" w:eastAsia="en-GB"/>
              </w:rPr>
            </w:pPr>
            <w:r w:rsidRPr="00FE3AF9">
              <w:rPr>
                <w:rFonts w:asciiTheme="minorHAnsi" w:hAnsiTheme="minorHAnsi" w:cstheme="minorHAnsi"/>
                <w:color w:val="000000"/>
                <w:sz w:val="12"/>
                <w:szCs w:val="12"/>
              </w:rPr>
              <w:t xml:space="preserve">4,600.1 </w:t>
            </w:r>
          </w:p>
        </w:tc>
        <w:tc>
          <w:tcPr>
            <w:tcW w:w="1642" w:type="dxa"/>
            <w:tcBorders>
              <w:left w:val="single" w:sz="4" w:space="0" w:color="auto"/>
            </w:tcBorders>
            <w:shd w:val="clear" w:color="000000" w:fill="FFFFFF"/>
            <w:vAlign w:val="center"/>
            <w:hideMark/>
          </w:tcPr>
          <w:p w14:paraId="1A2AB597" w14:textId="77777777" w:rsidR="0044035E" w:rsidRPr="008B014D" w:rsidRDefault="0044035E" w:rsidP="006A1A41">
            <w:pPr>
              <w:spacing w:line="276" w:lineRule="auto"/>
              <w:ind w:firstLineChars="100" w:firstLine="120"/>
              <w:jc w:val="right"/>
              <w:rPr>
                <w:rFonts w:asciiTheme="minorHAnsi" w:eastAsia="Times New Roman" w:hAnsiTheme="minorHAnsi" w:cstheme="minorHAnsi"/>
                <w:sz w:val="12"/>
                <w:szCs w:val="14"/>
                <w:highlight w:val="yellow"/>
                <w:lang w:val="en-GB" w:eastAsia="en-GB"/>
              </w:rPr>
            </w:pPr>
            <w:r w:rsidRPr="008B014D">
              <w:rPr>
                <w:rFonts w:asciiTheme="minorHAnsi" w:hAnsiTheme="minorHAnsi" w:cstheme="minorHAnsi"/>
                <w:sz w:val="12"/>
                <w:szCs w:val="12"/>
              </w:rPr>
              <w:t xml:space="preserve">4,596.8 </w:t>
            </w:r>
          </w:p>
        </w:tc>
      </w:tr>
      <w:tr w:rsidR="0044035E" w:rsidRPr="008B014D" w14:paraId="33D0D0D1" w14:textId="77777777" w:rsidTr="006A1A41">
        <w:trPr>
          <w:trHeight w:val="227"/>
          <w:jc w:val="center"/>
        </w:trPr>
        <w:tc>
          <w:tcPr>
            <w:tcW w:w="3520" w:type="dxa"/>
            <w:tcBorders>
              <w:right w:val="single" w:sz="4" w:space="0" w:color="auto"/>
            </w:tcBorders>
            <w:shd w:val="clear" w:color="auto" w:fill="auto"/>
            <w:vAlign w:val="center"/>
            <w:hideMark/>
          </w:tcPr>
          <w:p w14:paraId="558A18CA" w14:textId="77777777" w:rsidR="0044035E" w:rsidRPr="008B014D" w:rsidRDefault="0044035E" w:rsidP="006A1A41">
            <w:pPr>
              <w:spacing w:line="276" w:lineRule="auto"/>
              <w:ind w:firstLineChars="50" w:firstLine="60"/>
              <w:rPr>
                <w:rFonts w:asciiTheme="minorHAnsi" w:eastAsia="Times New Roman" w:hAnsiTheme="minorHAnsi" w:cstheme="minorHAnsi"/>
                <w:sz w:val="12"/>
                <w:szCs w:val="14"/>
                <w:lang w:val="en-GB" w:eastAsia="en-GB"/>
              </w:rPr>
            </w:pPr>
            <w:r w:rsidRPr="008B014D">
              <w:rPr>
                <w:rFonts w:asciiTheme="minorHAnsi" w:hAnsiTheme="minorHAnsi" w:cstheme="minorHAnsi"/>
                <w:sz w:val="12"/>
                <w:szCs w:val="14"/>
              </w:rPr>
              <w:t>Other non-current liabilities</w:t>
            </w:r>
          </w:p>
        </w:tc>
        <w:tc>
          <w:tcPr>
            <w:tcW w:w="1632" w:type="dxa"/>
            <w:tcBorders>
              <w:top w:val="nil"/>
              <w:left w:val="single" w:sz="4" w:space="0" w:color="auto"/>
              <w:bottom w:val="nil"/>
              <w:right w:val="single" w:sz="4" w:space="0" w:color="auto"/>
            </w:tcBorders>
            <w:shd w:val="clear" w:color="auto" w:fill="auto"/>
            <w:vAlign w:val="center"/>
          </w:tcPr>
          <w:p w14:paraId="2DE5DA85" w14:textId="77777777" w:rsidR="0044035E" w:rsidRPr="00FE3AF9"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val="en-GB" w:eastAsia="en-GB"/>
              </w:rPr>
            </w:pPr>
            <w:r w:rsidRPr="00FE3AF9">
              <w:rPr>
                <w:rFonts w:asciiTheme="minorHAnsi" w:hAnsiTheme="minorHAnsi" w:cstheme="minorHAnsi"/>
                <w:color w:val="000000"/>
                <w:sz w:val="12"/>
                <w:szCs w:val="12"/>
              </w:rPr>
              <w:t xml:space="preserve">1,790.0 </w:t>
            </w:r>
          </w:p>
        </w:tc>
        <w:tc>
          <w:tcPr>
            <w:tcW w:w="1642" w:type="dxa"/>
            <w:tcBorders>
              <w:left w:val="single" w:sz="4" w:space="0" w:color="auto"/>
            </w:tcBorders>
            <w:shd w:val="clear" w:color="000000" w:fill="FFFFFF"/>
            <w:vAlign w:val="center"/>
            <w:hideMark/>
          </w:tcPr>
          <w:p w14:paraId="65FCF1B0" w14:textId="77777777" w:rsidR="0044035E" w:rsidRPr="008B014D" w:rsidRDefault="0044035E" w:rsidP="006A1A41">
            <w:pPr>
              <w:spacing w:line="276" w:lineRule="auto"/>
              <w:ind w:firstLineChars="100" w:firstLine="120"/>
              <w:jc w:val="right"/>
              <w:rPr>
                <w:rFonts w:asciiTheme="minorHAnsi" w:eastAsia="Times New Roman" w:hAnsiTheme="minorHAnsi" w:cstheme="minorHAnsi"/>
                <w:sz w:val="12"/>
                <w:szCs w:val="14"/>
                <w:highlight w:val="yellow"/>
                <w:lang w:val="en-GB" w:eastAsia="en-GB"/>
              </w:rPr>
            </w:pPr>
            <w:r w:rsidRPr="008B014D">
              <w:rPr>
                <w:rFonts w:asciiTheme="minorHAnsi" w:hAnsiTheme="minorHAnsi" w:cstheme="minorHAnsi"/>
                <w:sz w:val="12"/>
                <w:szCs w:val="12"/>
              </w:rPr>
              <w:t xml:space="preserve">1,879.4 </w:t>
            </w:r>
          </w:p>
        </w:tc>
      </w:tr>
      <w:tr w:rsidR="0044035E" w:rsidRPr="008B014D" w14:paraId="4A54437A" w14:textId="77777777" w:rsidTr="006A1A41">
        <w:trPr>
          <w:trHeight w:val="227"/>
          <w:jc w:val="center"/>
        </w:trPr>
        <w:tc>
          <w:tcPr>
            <w:tcW w:w="3520" w:type="dxa"/>
            <w:tcBorders>
              <w:right w:val="single" w:sz="4" w:space="0" w:color="auto"/>
            </w:tcBorders>
            <w:shd w:val="clear" w:color="auto" w:fill="auto"/>
            <w:vAlign w:val="center"/>
            <w:hideMark/>
          </w:tcPr>
          <w:p w14:paraId="6CE7C0A2" w14:textId="77777777" w:rsidR="0044035E" w:rsidRPr="008B014D" w:rsidRDefault="0044035E" w:rsidP="006A1A41">
            <w:pPr>
              <w:spacing w:line="276" w:lineRule="auto"/>
              <w:ind w:firstLineChars="50" w:firstLine="60"/>
              <w:rPr>
                <w:rFonts w:asciiTheme="minorHAnsi" w:eastAsia="Times New Roman" w:hAnsiTheme="minorHAnsi" w:cstheme="minorHAnsi"/>
                <w:b/>
                <w:bCs/>
                <w:sz w:val="12"/>
                <w:szCs w:val="14"/>
                <w:lang w:val="en-GB" w:eastAsia="en-GB"/>
              </w:rPr>
            </w:pPr>
            <w:r w:rsidRPr="008B014D">
              <w:rPr>
                <w:rFonts w:asciiTheme="minorHAnsi" w:hAnsiTheme="minorHAnsi" w:cstheme="minorHAnsi"/>
                <w:b/>
                <w:bCs/>
                <w:sz w:val="12"/>
                <w:szCs w:val="14"/>
              </w:rPr>
              <w:t>Total non-current liabilities</w:t>
            </w:r>
          </w:p>
        </w:tc>
        <w:tc>
          <w:tcPr>
            <w:tcW w:w="1632" w:type="dxa"/>
            <w:tcBorders>
              <w:top w:val="nil"/>
              <w:left w:val="single" w:sz="4" w:space="0" w:color="auto"/>
              <w:bottom w:val="nil"/>
              <w:right w:val="single" w:sz="4" w:space="0" w:color="auto"/>
            </w:tcBorders>
            <w:shd w:val="clear" w:color="auto" w:fill="auto"/>
            <w:vAlign w:val="center"/>
          </w:tcPr>
          <w:p w14:paraId="11D5F779" w14:textId="77777777" w:rsidR="0044035E" w:rsidRPr="00FE3AF9" w:rsidRDefault="0044035E" w:rsidP="006A1A41">
            <w:pPr>
              <w:spacing w:line="276" w:lineRule="auto"/>
              <w:ind w:firstLineChars="100" w:firstLine="120"/>
              <w:jc w:val="right"/>
              <w:rPr>
                <w:rFonts w:asciiTheme="minorHAnsi" w:eastAsia="Times New Roman" w:hAnsiTheme="minorHAnsi" w:cstheme="minorHAnsi"/>
                <w:b/>
                <w:bCs/>
                <w:sz w:val="12"/>
                <w:szCs w:val="12"/>
                <w:highlight w:val="yellow"/>
                <w:lang w:val="en-GB" w:eastAsia="en-GB"/>
              </w:rPr>
            </w:pPr>
            <w:r w:rsidRPr="00FE3AF9">
              <w:rPr>
                <w:rFonts w:asciiTheme="minorHAnsi" w:hAnsiTheme="minorHAnsi" w:cstheme="minorHAnsi"/>
                <w:b/>
                <w:bCs/>
                <w:color w:val="000000"/>
                <w:sz w:val="12"/>
                <w:szCs w:val="12"/>
              </w:rPr>
              <w:t xml:space="preserve">6,390.1 </w:t>
            </w:r>
          </w:p>
        </w:tc>
        <w:tc>
          <w:tcPr>
            <w:tcW w:w="1642" w:type="dxa"/>
            <w:tcBorders>
              <w:left w:val="single" w:sz="4" w:space="0" w:color="auto"/>
            </w:tcBorders>
            <w:shd w:val="clear" w:color="auto" w:fill="auto"/>
            <w:vAlign w:val="center"/>
            <w:hideMark/>
          </w:tcPr>
          <w:p w14:paraId="588390BB" w14:textId="77777777" w:rsidR="0044035E" w:rsidRPr="008B014D" w:rsidRDefault="0044035E" w:rsidP="006A1A41">
            <w:pPr>
              <w:spacing w:line="276" w:lineRule="auto"/>
              <w:ind w:firstLineChars="100" w:firstLine="120"/>
              <w:jc w:val="right"/>
              <w:rPr>
                <w:rFonts w:asciiTheme="minorHAnsi" w:eastAsia="Times New Roman" w:hAnsiTheme="minorHAnsi" w:cstheme="minorHAnsi"/>
                <w:b/>
                <w:bCs/>
                <w:sz w:val="12"/>
                <w:szCs w:val="14"/>
                <w:highlight w:val="yellow"/>
                <w:lang w:val="en-GB" w:eastAsia="en-GB"/>
              </w:rPr>
            </w:pPr>
            <w:r w:rsidRPr="008B014D">
              <w:rPr>
                <w:rFonts w:asciiTheme="minorHAnsi" w:hAnsiTheme="minorHAnsi" w:cstheme="minorHAnsi"/>
                <w:b/>
                <w:bCs/>
                <w:sz w:val="12"/>
                <w:szCs w:val="12"/>
              </w:rPr>
              <w:t xml:space="preserve">6,476.2 </w:t>
            </w:r>
          </w:p>
        </w:tc>
      </w:tr>
      <w:tr w:rsidR="0044035E" w:rsidRPr="008B014D" w14:paraId="69453B64" w14:textId="77777777" w:rsidTr="006A1A41">
        <w:trPr>
          <w:trHeight w:val="227"/>
          <w:jc w:val="center"/>
        </w:trPr>
        <w:tc>
          <w:tcPr>
            <w:tcW w:w="3520" w:type="dxa"/>
            <w:tcBorders>
              <w:right w:val="single" w:sz="4" w:space="0" w:color="auto"/>
            </w:tcBorders>
            <w:shd w:val="clear" w:color="auto" w:fill="auto"/>
            <w:vAlign w:val="center"/>
            <w:hideMark/>
          </w:tcPr>
          <w:p w14:paraId="1DAD8E97" w14:textId="77777777" w:rsidR="0044035E" w:rsidRPr="008B014D" w:rsidRDefault="0044035E" w:rsidP="006A1A41">
            <w:pPr>
              <w:spacing w:line="276" w:lineRule="auto"/>
              <w:ind w:firstLineChars="50" w:firstLine="60"/>
              <w:rPr>
                <w:rFonts w:asciiTheme="minorHAnsi" w:eastAsia="Times New Roman" w:hAnsiTheme="minorHAnsi" w:cstheme="minorHAnsi"/>
                <w:sz w:val="12"/>
                <w:szCs w:val="14"/>
                <w:lang w:val="en-GB" w:eastAsia="en-GB"/>
              </w:rPr>
            </w:pPr>
            <w:r w:rsidRPr="008B014D">
              <w:rPr>
                <w:rFonts w:asciiTheme="minorHAnsi" w:hAnsiTheme="minorHAnsi" w:cstheme="minorHAnsi"/>
                <w:sz w:val="12"/>
                <w:szCs w:val="14"/>
              </w:rPr>
              <w:t>Non-controlling interests</w:t>
            </w:r>
          </w:p>
        </w:tc>
        <w:tc>
          <w:tcPr>
            <w:tcW w:w="1632" w:type="dxa"/>
            <w:tcBorders>
              <w:top w:val="nil"/>
              <w:left w:val="single" w:sz="4" w:space="0" w:color="auto"/>
              <w:bottom w:val="nil"/>
              <w:right w:val="single" w:sz="4" w:space="0" w:color="auto"/>
            </w:tcBorders>
            <w:shd w:val="clear" w:color="auto" w:fill="auto"/>
            <w:vAlign w:val="center"/>
          </w:tcPr>
          <w:p w14:paraId="26440695" w14:textId="77777777" w:rsidR="0044035E" w:rsidRPr="00FE3AF9"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val="en-GB" w:eastAsia="en-GB"/>
              </w:rPr>
            </w:pPr>
            <w:r w:rsidRPr="00FE3AF9">
              <w:rPr>
                <w:rFonts w:asciiTheme="minorHAnsi" w:hAnsiTheme="minorHAnsi" w:cstheme="minorHAnsi"/>
                <w:color w:val="000000"/>
                <w:sz w:val="12"/>
                <w:szCs w:val="12"/>
              </w:rPr>
              <w:t xml:space="preserve">48.2 </w:t>
            </w:r>
          </w:p>
        </w:tc>
        <w:tc>
          <w:tcPr>
            <w:tcW w:w="1642" w:type="dxa"/>
            <w:tcBorders>
              <w:left w:val="single" w:sz="4" w:space="0" w:color="auto"/>
            </w:tcBorders>
            <w:shd w:val="clear" w:color="000000" w:fill="FFFFFF"/>
            <w:vAlign w:val="center"/>
            <w:hideMark/>
          </w:tcPr>
          <w:p w14:paraId="1ABD3FCC" w14:textId="77777777" w:rsidR="0044035E" w:rsidRPr="008B014D" w:rsidRDefault="0044035E" w:rsidP="006A1A41">
            <w:pPr>
              <w:spacing w:line="276" w:lineRule="auto"/>
              <w:ind w:firstLineChars="100" w:firstLine="120"/>
              <w:jc w:val="right"/>
              <w:rPr>
                <w:rFonts w:asciiTheme="minorHAnsi" w:eastAsia="Times New Roman" w:hAnsiTheme="minorHAnsi" w:cstheme="minorHAnsi"/>
                <w:sz w:val="12"/>
                <w:szCs w:val="14"/>
                <w:highlight w:val="yellow"/>
                <w:lang w:val="en-GB" w:eastAsia="en-GB"/>
              </w:rPr>
            </w:pPr>
            <w:r w:rsidRPr="008B014D">
              <w:rPr>
                <w:rFonts w:asciiTheme="minorHAnsi" w:hAnsiTheme="minorHAnsi" w:cstheme="minorHAnsi"/>
                <w:sz w:val="12"/>
                <w:szCs w:val="12"/>
              </w:rPr>
              <w:t xml:space="preserve">53.9 </w:t>
            </w:r>
          </w:p>
        </w:tc>
      </w:tr>
      <w:tr w:rsidR="0044035E" w:rsidRPr="008B014D" w14:paraId="5291F4C7" w14:textId="77777777" w:rsidTr="006A1A41">
        <w:trPr>
          <w:trHeight w:val="227"/>
          <w:jc w:val="center"/>
        </w:trPr>
        <w:tc>
          <w:tcPr>
            <w:tcW w:w="3520" w:type="dxa"/>
            <w:tcBorders>
              <w:right w:val="single" w:sz="4" w:space="0" w:color="auto"/>
            </w:tcBorders>
            <w:shd w:val="clear" w:color="auto" w:fill="auto"/>
            <w:vAlign w:val="center"/>
            <w:hideMark/>
          </w:tcPr>
          <w:p w14:paraId="200453B5" w14:textId="77777777" w:rsidR="0044035E" w:rsidRPr="008B014D" w:rsidRDefault="0044035E" w:rsidP="006A1A41">
            <w:pPr>
              <w:spacing w:line="276" w:lineRule="auto"/>
              <w:ind w:firstLineChars="50" w:firstLine="60"/>
              <w:rPr>
                <w:rFonts w:asciiTheme="minorHAnsi" w:eastAsia="Times New Roman" w:hAnsiTheme="minorHAnsi" w:cstheme="minorHAnsi"/>
                <w:sz w:val="12"/>
                <w:szCs w:val="14"/>
                <w:lang w:val="fr-FR" w:eastAsia="en-GB"/>
              </w:rPr>
            </w:pPr>
            <w:r w:rsidRPr="008B014D">
              <w:rPr>
                <w:rFonts w:asciiTheme="minorHAnsi" w:hAnsiTheme="minorHAnsi" w:cstheme="minorHAnsi"/>
                <w:sz w:val="12"/>
                <w:szCs w:val="14"/>
              </w:rPr>
              <w:t>Parent shareholders' equity</w:t>
            </w:r>
          </w:p>
        </w:tc>
        <w:tc>
          <w:tcPr>
            <w:tcW w:w="1632" w:type="dxa"/>
            <w:tcBorders>
              <w:top w:val="nil"/>
              <w:left w:val="single" w:sz="4" w:space="0" w:color="auto"/>
              <w:bottom w:val="single" w:sz="4" w:space="0" w:color="auto"/>
              <w:right w:val="single" w:sz="4" w:space="0" w:color="auto"/>
            </w:tcBorders>
            <w:shd w:val="clear" w:color="auto" w:fill="auto"/>
            <w:vAlign w:val="center"/>
          </w:tcPr>
          <w:p w14:paraId="610BFB34" w14:textId="77777777" w:rsidR="0044035E" w:rsidRPr="00FE3AF9" w:rsidRDefault="0044035E" w:rsidP="006A1A41">
            <w:pPr>
              <w:spacing w:line="276" w:lineRule="auto"/>
              <w:ind w:firstLineChars="100" w:firstLine="120"/>
              <w:jc w:val="right"/>
              <w:rPr>
                <w:rFonts w:asciiTheme="minorHAnsi" w:eastAsia="Times New Roman" w:hAnsiTheme="minorHAnsi" w:cstheme="minorHAnsi"/>
                <w:sz w:val="12"/>
                <w:szCs w:val="12"/>
                <w:highlight w:val="yellow"/>
                <w:lang w:val="en-GB" w:eastAsia="en-GB"/>
              </w:rPr>
            </w:pPr>
            <w:r w:rsidRPr="00FE3AF9">
              <w:rPr>
                <w:rFonts w:asciiTheme="minorHAnsi" w:hAnsiTheme="minorHAnsi" w:cstheme="minorHAnsi"/>
                <w:color w:val="000000"/>
                <w:sz w:val="12"/>
                <w:szCs w:val="12"/>
              </w:rPr>
              <w:t xml:space="preserve">5,315.7 </w:t>
            </w:r>
          </w:p>
        </w:tc>
        <w:tc>
          <w:tcPr>
            <w:tcW w:w="1642" w:type="dxa"/>
            <w:tcBorders>
              <w:left w:val="single" w:sz="4" w:space="0" w:color="auto"/>
              <w:bottom w:val="single" w:sz="4" w:space="0" w:color="auto"/>
            </w:tcBorders>
            <w:shd w:val="clear" w:color="000000" w:fill="FFFFFF"/>
            <w:vAlign w:val="center"/>
            <w:hideMark/>
          </w:tcPr>
          <w:p w14:paraId="23B0D96D" w14:textId="77777777" w:rsidR="0044035E" w:rsidRPr="008B014D" w:rsidRDefault="0044035E" w:rsidP="006A1A41">
            <w:pPr>
              <w:spacing w:line="276" w:lineRule="auto"/>
              <w:ind w:firstLineChars="100" w:firstLine="120"/>
              <w:jc w:val="right"/>
              <w:rPr>
                <w:rFonts w:asciiTheme="minorHAnsi" w:eastAsia="Times New Roman" w:hAnsiTheme="minorHAnsi" w:cstheme="minorHAnsi"/>
                <w:sz w:val="12"/>
                <w:szCs w:val="14"/>
                <w:highlight w:val="yellow"/>
                <w:lang w:val="en-GB" w:eastAsia="en-GB"/>
              </w:rPr>
            </w:pPr>
            <w:r w:rsidRPr="008B014D">
              <w:rPr>
                <w:rFonts w:asciiTheme="minorHAnsi" w:hAnsiTheme="minorHAnsi" w:cstheme="minorHAnsi"/>
                <w:sz w:val="12"/>
                <w:szCs w:val="12"/>
              </w:rPr>
              <w:t xml:space="preserve">5,208.7 </w:t>
            </w:r>
          </w:p>
        </w:tc>
      </w:tr>
      <w:tr w:rsidR="0044035E" w:rsidRPr="008B014D" w14:paraId="26032A18" w14:textId="77777777" w:rsidTr="006A1A41">
        <w:trPr>
          <w:trHeight w:val="227"/>
          <w:jc w:val="center"/>
        </w:trPr>
        <w:tc>
          <w:tcPr>
            <w:tcW w:w="3520" w:type="dxa"/>
            <w:tcBorders>
              <w:right w:val="single" w:sz="4" w:space="0" w:color="auto"/>
            </w:tcBorders>
            <w:shd w:val="clear" w:color="auto" w:fill="auto"/>
            <w:vAlign w:val="center"/>
            <w:hideMark/>
          </w:tcPr>
          <w:p w14:paraId="44684963" w14:textId="77777777" w:rsidR="0044035E" w:rsidRPr="008B014D" w:rsidRDefault="0044035E" w:rsidP="006A1A41">
            <w:pPr>
              <w:spacing w:line="276" w:lineRule="auto"/>
              <w:ind w:firstLineChars="50" w:firstLine="60"/>
              <w:rPr>
                <w:rFonts w:asciiTheme="minorHAnsi" w:eastAsia="Times New Roman" w:hAnsiTheme="minorHAnsi" w:cstheme="minorHAnsi"/>
                <w:b/>
                <w:bCs/>
                <w:sz w:val="12"/>
                <w:szCs w:val="14"/>
                <w:lang w:val="en-GB" w:eastAsia="en-GB"/>
              </w:rPr>
            </w:pPr>
            <w:r>
              <w:rPr>
                <w:rFonts w:asciiTheme="minorHAnsi" w:hAnsiTheme="minorHAnsi" w:cstheme="minorHAnsi"/>
                <w:b/>
                <w:bCs/>
                <w:sz w:val="12"/>
                <w:szCs w:val="14"/>
              </w:rPr>
              <w:t>Total Liabilities and</w:t>
            </w:r>
            <w:r w:rsidRPr="008B014D">
              <w:rPr>
                <w:rFonts w:asciiTheme="minorHAnsi" w:hAnsiTheme="minorHAnsi" w:cstheme="minorHAnsi"/>
                <w:b/>
                <w:bCs/>
                <w:sz w:val="12"/>
                <w:szCs w:val="14"/>
              </w:rPr>
              <w:t xml:space="preserve"> equity</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6FD445A9" w14:textId="77777777" w:rsidR="0044035E" w:rsidRPr="00FE3AF9" w:rsidRDefault="0044035E" w:rsidP="006A1A41">
            <w:pPr>
              <w:spacing w:line="276" w:lineRule="auto"/>
              <w:ind w:firstLineChars="100" w:firstLine="120"/>
              <w:jc w:val="right"/>
              <w:rPr>
                <w:rFonts w:asciiTheme="minorHAnsi" w:eastAsia="Times New Roman" w:hAnsiTheme="minorHAnsi" w:cstheme="minorHAnsi"/>
                <w:b/>
                <w:bCs/>
                <w:sz w:val="12"/>
                <w:szCs w:val="12"/>
                <w:highlight w:val="yellow"/>
                <w:lang w:val="en-GB" w:eastAsia="en-GB"/>
              </w:rPr>
            </w:pPr>
            <w:r w:rsidRPr="00FE3AF9">
              <w:rPr>
                <w:rFonts w:asciiTheme="minorHAnsi" w:hAnsiTheme="minorHAnsi" w:cstheme="minorHAnsi"/>
                <w:b/>
                <w:bCs/>
                <w:color w:val="000000"/>
                <w:sz w:val="12"/>
                <w:szCs w:val="12"/>
              </w:rPr>
              <w:t xml:space="preserve">€ 13,807.0 </w:t>
            </w:r>
          </w:p>
        </w:tc>
        <w:tc>
          <w:tcPr>
            <w:tcW w:w="1642" w:type="dxa"/>
            <w:tcBorders>
              <w:top w:val="single" w:sz="4" w:space="0" w:color="auto"/>
              <w:left w:val="single" w:sz="4" w:space="0" w:color="auto"/>
              <w:bottom w:val="single" w:sz="4" w:space="0" w:color="auto"/>
            </w:tcBorders>
            <w:shd w:val="clear" w:color="auto" w:fill="auto"/>
            <w:vAlign w:val="center"/>
            <w:hideMark/>
          </w:tcPr>
          <w:p w14:paraId="3D815769" w14:textId="77777777" w:rsidR="0044035E" w:rsidRPr="008B014D" w:rsidRDefault="0044035E" w:rsidP="006A1A41">
            <w:pPr>
              <w:spacing w:line="276" w:lineRule="auto"/>
              <w:ind w:firstLineChars="100" w:firstLine="120"/>
              <w:jc w:val="right"/>
              <w:rPr>
                <w:rFonts w:asciiTheme="minorHAnsi" w:eastAsia="Times New Roman" w:hAnsiTheme="minorHAnsi" w:cstheme="minorHAnsi"/>
                <w:b/>
                <w:bCs/>
                <w:sz w:val="12"/>
                <w:szCs w:val="14"/>
                <w:highlight w:val="yellow"/>
                <w:lang w:val="en-GB" w:eastAsia="en-GB"/>
              </w:rPr>
            </w:pPr>
            <w:r w:rsidRPr="008B014D">
              <w:rPr>
                <w:rFonts w:asciiTheme="minorHAnsi" w:hAnsiTheme="minorHAnsi" w:cstheme="minorHAnsi"/>
                <w:b/>
                <w:bCs/>
                <w:sz w:val="12"/>
                <w:szCs w:val="12"/>
              </w:rPr>
              <w:t xml:space="preserve">€ 13,872.6 </w:t>
            </w:r>
          </w:p>
        </w:tc>
      </w:tr>
    </w:tbl>
    <w:p w14:paraId="6272911D" w14:textId="77777777" w:rsidR="0044035E" w:rsidRPr="00CA4A72" w:rsidRDefault="0044035E" w:rsidP="0044035E">
      <w:pPr>
        <w:jc w:val="center"/>
        <w:rPr>
          <w:rFonts w:asciiTheme="minorHAnsi" w:hAnsiTheme="minorHAnsi" w:cstheme="minorHAnsi"/>
          <w:sz w:val="20"/>
          <w:szCs w:val="20"/>
        </w:rPr>
      </w:pPr>
    </w:p>
    <w:p w14:paraId="603600CA" w14:textId="77777777" w:rsidR="0044035E" w:rsidRPr="00CA4A72" w:rsidRDefault="0044035E" w:rsidP="0044035E">
      <w:pPr>
        <w:spacing w:after="200" w:line="276" w:lineRule="auto"/>
        <w:rPr>
          <w:rFonts w:asciiTheme="minorHAnsi" w:eastAsia="MS Mincho" w:hAnsiTheme="minorHAnsi" w:cstheme="minorHAnsi"/>
          <w:bCs/>
          <w:color w:val="000000"/>
          <w:sz w:val="16"/>
          <w:szCs w:val="16"/>
          <w:lang w:eastAsia="ja-JP"/>
        </w:rPr>
      </w:pPr>
    </w:p>
    <w:p w14:paraId="12C93DDF" w14:textId="77777777" w:rsidR="0044035E" w:rsidRPr="00CA4A72" w:rsidRDefault="0044035E" w:rsidP="0044035E">
      <w:pPr>
        <w:spacing w:after="200" w:line="276" w:lineRule="auto"/>
        <w:rPr>
          <w:rFonts w:asciiTheme="minorHAnsi" w:hAnsiTheme="minorHAnsi" w:cstheme="minorHAnsi"/>
          <w:b/>
          <w:bCs/>
          <w:color w:val="000000"/>
        </w:rPr>
      </w:pPr>
    </w:p>
    <w:p w14:paraId="4D574A7C" w14:textId="77777777" w:rsidR="0044035E" w:rsidRPr="00CA4A72" w:rsidRDefault="0044035E" w:rsidP="0044035E">
      <w:pPr>
        <w:spacing w:after="200" w:line="276" w:lineRule="auto"/>
        <w:rPr>
          <w:rFonts w:asciiTheme="minorHAnsi" w:hAnsiTheme="minorHAnsi" w:cstheme="minorHAnsi"/>
          <w:b/>
          <w:bCs/>
          <w:color w:val="000000"/>
        </w:rPr>
      </w:pPr>
      <w:r w:rsidRPr="00CA4A72">
        <w:rPr>
          <w:rFonts w:asciiTheme="minorHAnsi" w:hAnsiTheme="minorHAnsi" w:cstheme="minorHAnsi"/>
          <w:b/>
          <w:bCs/>
          <w:color w:val="000000"/>
        </w:rPr>
        <w:br w:type="page"/>
      </w:r>
    </w:p>
    <w:p w14:paraId="28D152E9" w14:textId="77777777" w:rsidR="0044035E" w:rsidRPr="00CA4A72" w:rsidRDefault="0044035E" w:rsidP="0044035E">
      <w:pPr>
        <w:autoSpaceDE w:val="0"/>
        <w:autoSpaceDN w:val="0"/>
        <w:adjustRightInd w:val="0"/>
        <w:jc w:val="center"/>
        <w:rPr>
          <w:rFonts w:asciiTheme="minorHAnsi" w:hAnsiTheme="minorHAnsi" w:cstheme="minorHAnsi"/>
          <w:b/>
          <w:bCs/>
          <w:color w:val="000000"/>
        </w:rPr>
      </w:pPr>
      <w:r w:rsidRPr="00CA4A72">
        <w:rPr>
          <w:rFonts w:asciiTheme="minorHAnsi" w:hAnsiTheme="minorHAnsi" w:cstheme="minorHAnsi"/>
          <w:noProof/>
          <w:lang w:val="fr-FR" w:eastAsia="fr-FR"/>
        </w:rPr>
        <mc:AlternateContent>
          <mc:Choice Requires="wps">
            <w:drawing>
              <wp:anchor distT="0" distB="0" distL="114300" distR="114300" simplePos="0" relativeHeight="251659264" behindDoc="0" locked="0" layoutInCell="1" allowOverlap="1" wp14:anchorId="6E147213" wp14:editId="2169237D">
                <wp:simplePos x="0" y="0"/>
                <wp:positionH relativeFrom="column">
                  <wp:posOffset>1400810</wp:posOffset>
                </wp:positionH>
                <wp:positionV relativeFrom="paragraph">
                  <wp:posOffset>-7029458</wp:posOffset>
                </wp:positionV>
                <wp:extent cx="5943600" cy="3573145"/>
                <wp:effectExtent l="0" t="990600" r="0" b="1000125"/>
                <wp:wrapNone/>
                <wp:docPr id="18" name="Zone de texte 18"/>
                <wp:cNvGraphicFramePr/>
                <a:graphic xmlns:a="http://schemas.openxmlformats.org/drawingml/2006/main">
                  <a:graphicData uri="http://schemas.microsoft.com/office/word/2010/wordprocessingShape">
                    <wps:wsp>
                      <wps:cNvSpPr txBox="1"/>
                      <wps:spPr>
                        <a:xfrm rot="19506483">
                          <a:off x="0" y="0"/>
                          <a:ext cx="5943600" cy="3573145"/>
                        </a:xfrm>
                        <a:prstGeom prst="rect">
                          <a:avLst/>
                        </a:prstGeom>
                        <a:noFill/>
                        <a:ln>
                          <a:noFill/>
                        </a:ln>
                      </wps:spPr>
                      <wps:txbx>
                        <w:txbxContent>
                          <w:p w14:paraId="2E3937AA" w14:textId="77777777" w:rsidR="006A1632" w:rsidRPr="002D24A7" w:rsidRDefault="006A1632" w:rsidP="0044035E">
                            <w:pPr>
                              <w:spacing w:line="276" w:lineRule="auto"/>
                              <w:jc w:val="center"/>
                              <w:rPr>
                                <w:b/>
                                <w:color w:val="EEECE1" w:themeColor="background2"/>
                                <w:spacing w:val="10"/>
                                <w:sz w:val="72"/>
                                <w:szCs w:val="72"/>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72"/>
                                <w:szCs w:val="72"/>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Update in </w:t>
                            </w:r>
                            <w:proofErr w:type="spellStart"/>
                            <w:r>
                              <w:rPr>
                                <w:b/>
                                <w:color w:val="EEECE1" w:themeColor="background2"/>
                                <w:spacing w:val="10"/>
                                <w:sz w:val="72"/>
                                <w:szCs w:val="72"/>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progress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E147213" id="_x0000_t202" coordsize="21600,21600" o:spt="202" path="m,l,21600r21600,l21600,xe">
                <v:stroke joinstyle="miter"/>
                <v:path gradientshapeok="t" o:connecttype="rect"/>
              </v:shapetype>
              <v:shape id="Zone de texte 18" o:spid="_x0000_s1026" type="#_x0000_t202" style="position:absolute;left:0;text-align:left;margin-left:110.3pt;margin-top:-553.5pt;width:468pt;height:281.35pt;rotation:-2286679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" filled="f" stroked="f">
                <v:textbox style="mso-fit-shape-to-text:t">
                  <w:txbxContent>
                    <w:p w14:paraId="2E3937AA" w14:textId="77777777" w:rsidR="006A1632" w:rsidRPr="002D24A7" w:rsidRDefault="006A1632" w:rsidP="0044035E">
                      <w:pPr>
                        <w:spacing w:line="276" w:lineRule="auto"/>
                        <w:jc w:val="center"/>
                        <w:rPr>
                          <w:b/>
                          <w:color w:val="EEECE1" w:themeColor="background2"/>
                          <w:spacing w:val="10"/>
                          <w:sz w:val="72"/>
                          <w:szCs w:val="72"/>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72"/>
                          <w:szCs w:val="72"/>
                          <w:lang w:val="fr-F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Update in progress</w:t>
                      </w:r>
                    </w:p>
                  </w:txbxContent>
                </v:textbox>
              </v:shape>
            </w:pict>
          </mc:Fallback>
        </mc:AlternateContent>
      </w:r>
      <w:r w:rsidRPr="00CA4A72">
        <w:rPr>
          <w:rFonts w:asciiTheme="minorHAnsi" w:hAnsiTheme="minorHAnsi" w:cstheme="minorHAnsi"/>
          <w:b/>
          <w:bCs/>
          <w:color w:val="000000"/>
        </w:rPr>
        <w:t>DASSAULT SYSTEMES</w:t>
      </w:r>
    </w:p>
    <w:p w14:paraId="016682A6" w14:textId="77777777" w:rsidR="0044035E" w:rsidRPr="00CA4A72" w:rsidRDefault="0044035E" w:rsidP="0044035E">
      <w:pPr>
        <w:autoSpaceDE w:val="0"/>
        <w:autoSpaceDN w:val="0"/>
        <w:adjustRightInd w:val="0"/>
        <w:jc w:val="center"/>
        <w:rPr>
          <w:rFonts w:asciiTheme="minorHAnsi" w:hAnsiTheme="minorHAnsi" w:cstheme="minorHAnsi"/>
          <w:b/>
          <w:bCs/>
          <w:color w:val="000000"/>
        </w:rPr>
      </w:pPr>
      <w:r w:rsidRPr="00CA4A72">
        <w:rPr>
          <w:rFonts w:asciiTheme="minorHAnsi" w:hAnsiTheme="minorHAnsi" w:cstheme="minorHAnsi"/>
          <w:b/>
          <w:bCs/>
          <w:color w:val="000000"/>
        </w:rPr>
        <w:t>CONDENSED CONSOLIDATED CASH FLOW STATEMENTS (IFRS)</w:t>
      </w:r>
    </w:p>
    <w:p w14:paraId="54AED127" w14:textId="77777777" w:rsidR="0044035E" w:rsidRPr="00CA4A72" w:rsidRDefault="0044035E" w:rsidP="0044035E">
      <w:pPr>
        <w:jc w:val="center"/>
        <w:rPr>
          <w:rFonts w:asciiTheme="minorHAnsi" w:hAnsiTheme="minorHAnsi" w:cstheme="minorHAnsi"/>
          <w:sz w:val="20"/>
          <w:szCs w:val="20"/>
        </w:rPr>
      </w:pPr>
      <w:r w:rsidRPr="00CA4A72">
        <w:rPr>
          <w:rFonts w:asciiTheme="minorHAnsi" w:hAnsiTheme="minorHAnsi" w:cstheme="minorHAnsi"/>
          <w:sz w:val="20"/>
          <w:szCs w:val="20"/>
        </w:rPr>
        <w:t>(</w:t>
      </w:r>
      <w:proofErr w:type="gramStart"/>
      <w:r w:rsidRPr="00CA4A72">
        <w:rPr>
          <w:rFonts w:asciiTheme="minorHAnsi" w:hAnsiTheme="minorHAnsi" w:cstheme="minorHAnsi"/>
          <w:sz w:val="20"/>
          <w:szCs w:val="20"/>
        </w:rPr>
        <w:t>unaudited</w:t>
      </w:r>
      <w:proofErr w:type="gramEnd"/>
      <w:r w:rsidRPr="00CA4A72">
        <w:rPr>
          <w:rFonts w:asciiTheme="minorHAnsi" w:hAnsiTheme="minorHAnsi" w:cstheme="minorHAnsi"/>
          <w:sz w:val="20"/>
          <w:szCs w:val="20"/>
        </w:rPr>
        <w:t>; in millions of Euros)</w:t>
      </w:r>
    </w:p>
    <w:p w14:paraId="519A9D82" w14:textId="77777777" w:rsidR="0044035E" w:rsidRPr="00CA4A72" w:rsidRDefault="0044035E" w:rsidP="0044035E">
      <w:pPr>
        <w:autoSpaceDE w:val="0"/>
        <w:autoSpaceDN w:val="0"/>
        <w:adjustRightInd w:val="0"/>
        <w:jc w:val="center"/>
        <w:rPr>
          <w:rFonts w:asciiTheme="minorHAnsi" w:hAnsiTheme="minorHAnsi" w:cstheme="minorHAnsi"/>
          <w:bCs/>
          <w:color w:val="000000"/>
          <w:sz w:val="20"/>
        </w:rPr>
      </w:pPr>
    </w:p>
    <w:tbl>
      <w:tblPr>
        <w:tblW w:w="935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392"/>
        <w:gridCol w:w="998"/>
        <w:gridCol w:w="992"/>
        <w:gridCol w:w="992"/>
        <w:gridCol w:w="992"/>
        <w:gridCol w:w="993"/>
        <w:gridCol w:w="992"/>
      </w:tblGrid>
      <w:tr w:rsidR="0044035E" w:rsidRPr="00CA4A72" w14:paraId="0730EBDC" w14:textId="77777777" w:rsidTr="006A1A41">
        <w:trPr>
          <w:trHeight w:val="227"/>
        </w:trPr>
        <w:tc>
          <w:tcPr>
            <w:tcW w:w="3392" w:type="dxa"/>
            <w:vMerge w:val="restart"/>
            <w:tcBorders>
              <w:top w:val="single" w:sz="4" w:space="0" w:color="auto"/>
              <w:bottom w:val="single" w:sz="4" w:space="0" w:color="auto"/>
              <w:right w:val="single" w:sz="4" w:space="0" w:color="auto"/>
            </w:tcBorders>
            <w:shd w:val="clear" w:color="auto" w:fill="auto"/>
            <w:vAlign w:val="center"/>
          </w:tcPr>
          <w:p w14:paraId="33996F73" w14:textId="77777777" w:rsidR="0044035E" w:rsidRPr="00CA4A72" w:rsidRDefault="0044035E" w:rsidP="006A1A41">
            <w:pPr>
              <w:jc w:val="center"/>
              <w:rPr>
                <w:rFonts w:asciiTheme="minorHAnsi" w:hAnsiTheme="minorHAnsi" w:cstheme="minorHAnsi"/>
                <w:sz w:val="12"/>
                <w:szCs w:val="14"/>
              </w:rPr>
            </w:pPr>
            <w:r w:rsidRPr="00CA4A72">
              <w:rPr>
                <w:rFonts w:asciiTheme="minorHAnsi" w:hAnsiTheme="minorHAnsi" w:cstheme="minorHAnsi"/>
                <w:sz w:val="12"/>
                <w:szCs w:val="14"/>
              </w:rPr>
              <w:t>In millions of Euros</w:t>
            </w:r>
          </w:p>
        </w:tc>
        <w:tc>
          <w:tcPr>
            <w:tcW w:w="5959" w:type="dxa"/>
            <w:gridSpan w:val="6"/>
            <w:tcBorders>
              <w:top w:val="single" w:sz="4" w:space="0" w:color="auto"/>
              <w:left w:val="single" w:sz="4" w:space="0" w:color="auto"/>
              <w:bottom w:val="single" w:sz="4" w:space="0" w:color="auto"/>
            </w:tcBorders>
            <w:shd w:val="clear" w:color="auto" w:fill="auto"/>
            <w:vAlign w:val="center"/>
          </w:tcPr>
          <w:p w14:paraId="205565D9" w14:textId="77777777" w:rsidR="0044035E" w:rsidRPr="00CA4A72" w:rsidRDefault="0044035E" w:rsidP="006A1A41">
            <w:pPr>
              <w:jc w:val="center"/>
              <w:rPr>
                <w:rFonts w:asciiTheme="minorHAnsi" w:hAnsiTheme="minorHAnsi" w:cstheme="minorHAnsi"/>
                <w:b/>
                <w:bCs/>
                <w:sz w:val="12"/>
                <w:szCs w:val="14"/>
              </w:rPr>
            </w:pPr>
            <w:r w:rsidRPr="00CA4A72">
              <w:rPr>
                <w:rFonts w:asciiTheme="minorHAnsi" w:hAnsiTheme="minorHAnsi" w:cstheme="minorHAnsi"/>
                <w:b/>
                <w:bCs/>
                <w:sz w:val="12"/>
                <w:szCs w:val="14"/>
              </w:rPr>
              <w:t>IFRS reported</w:t>
            </w:r>
          </w:p>
        </w:tc>
      </w:tr>
      <w:tr w:rsidR="0044035E" w:rsidRPr="00CA4A72" w14:paraId="47E10B9C" w14:textId="77777777" w:rsidTr="006A1A41">
        <w:trPr>
          <w:trHeight w:val="227"/>
        </w:trPr>
        <w:tc>
          <w:tcPr>
            <w:tcW w:w="3392" w:type="dxa"/>
            <w:vMerge/>
            <w:tcBorders>
              <w:top w:val="nil"/>
              <w:bottom w:val="single" w:sz="4" w:space="0" w:color="auto"/>
              <w:right w:val="single" w:sz="4" w:space="0" w:color="auto"/>
            </w:tcBorders>
            <w:shd w:val="clear" w:color="auto" w:fill="auto"/>
            <w:vAlign w:val="center"/>
            <w:hideMark/>
          </w:tcPr>
          <w:p w14:paraId="7AD508F9" w14:textId="77777777" w:rsidR="0044035E" w:rsidRPr="00CA4A72" w:rsidRDefault="0044035E" w:rsidP="006A1A41">
            <w:pPr>
              <w:jc w:val="center"/>
              <w:rPr>
                <w:rFonts w:asciiTheme="minorHAnsi" w:eastAsia="Times New Roman" w:hAnsiTheme="minorHAnsi" w:cstheme="minorHAnsi"/>
                <w:sz w:val="12"/>
                <w:szCs w:val="14"/>
                <w:lang w:eastAsia="fr-FR"/>
              </w:rPr>
            </w:pPr>
          </w:p>
        </w:tc>
        <w:tc>
          <w:tcPr>
            <w:tcW w:w="29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C61F2F" w14:textId="77777777" w:rsidR="0044035E" w:rsidRPr="00CA4A72" w:rsidRDefault="0044035E" w:rsidP="006A1A41">
            <w:pPr>
              <w:jc w:val="center"/>
              <w:rPr>
                <w:rFonts w:asciiTheme="minorHAnsi" w:eastAsia="Times New Roman" w:hAnsiTheme="minorHAnsi" w:cstheme="minorHAnsi"/>
                <w:b/>
                <w:bCs/>
                <w:sz w:val="12"/>
                <w:szCs w:val="14"/>
                <w:lang w:eastAsia="fr-FR"/>
              </w:rPr>
            </w:pPr>
            <w:r>
              <w:rPr>
                <w:rFonts w:asciiTheme="minorHAnsi" w:hAnsiTheme="minorHAnsi" w:cstheme="minorHAnsi"/>
                <w:b/>
                <w:bCs/>
                <w:sz w:val="12"/>
                <w:szCs w:val="14"/>
              </w:rPr>
              <w:t>Three</w:t>
            </w:r>
            <w:r w:rsidRPr="00CA4A72">
              <w:rPr>
                <w:rFonts w:asciiTheme="minorHAnsi" w:hAnsiTheme="minorHAnsi" w:cstheme="minorHAnsi"/>
                <w:b/>
                <w:bCs/>
                <w:sz w:val="12"/>
                <w:szCs w:val="14"/>
              </w:rPr>
              <w:t xml:space="preserve"> months ended</w:t>
            </w:r>
          </w:p>
        </w:tc>
        <w:tc>
          <w:tcPr>
            <w:tcW w:w="2977" w:type="dxa"/>
            <w:gridSpan w:val="3"/>
            <w:tcBorders>
              <w:top w:val="single" w:sz="4" w:space="0" w:color="auto"/>
              <w:left w:val="single" w:sz="4" w:space="0" w:color="auto"/>
              <w:bottom w:val="single" w:sz="4" w:space="0" w:color="auto"/>
            </w:tcBorders>
            <w:shd w:val="clear" w:color="auto" w:fill="auto"/>
            <w:noWrap/>
            <w:vAlign w:val="center"/>
            <w:hideMark/>
          </w:tcPr>
          <w:p w14:paraId="20A7291D" w14:textId="77777777" w:rsidR="0044035E" w:rsidRPr="00CA4A72" w:rsidRDefault="0044035E" w:rsidP="006A1A41">
            <w:pPr>
              <w:jc w:val="center"/>
              <w:rPr>
                <w:rFonts w:asciiTheme="minorHAnsi" w:eastAsia="Times New Roman" w:hAnsiTheme="minorHAnsi" w:cstheme="minorHAnsi"/>
                <w:b/>
                <w:bCs/>
                <w:sz w:val="12"/>
                <w:szCs w:val="14"/>
                <w:lang w:eastAsia="fr-FR"/>
              </w:rPr>
            </w:pPr>
            <w:r>
              <w:rPr>
                <w:rFonts w:asciiTheme="minorHAnsi" w:hAnsiTheme="minorHAnsi" w:cstheme="minorHAnsi"/>
                <w:b/>
                <w:bCs/>
                <w:sz w:val="12"/>
                <w:szCs w:val="14"/>
              </w:rPr>
              <w:t>Six</w:t>
            </w:r>
            <w:r w:rsidRPr="00CA4A72">
              <w:rPr>
                <w:rFonts w:asciiTheme="minorHAnsi" w:hAnsiTheme="minorHAnsi" w:cstheme="minorHAnsi"/>
                <w:b/>
                <w:bCs/>
                <w:sz w:val="12"/>
                <w:szCs w:val="14"/>
              </w:rPr>
              <w:t xml:space="preserve"> months ended</w:t>
            </w:r>
          </w:p>
        </w:tc>
      </w:tr>
      <w:tr w:rsidR="0044035E" w:rsidRPr="00CA4A72" w14:paraId="4C00F36E" w14:textId="77777777" w:rsidTr="006A1A41">
        <w:trPr>
          <w:trHeight w:val="170"/>
        </w:trPr>
        <w:tc>
          <w:tcPr>
            <w:tcW w:w="3392" w:type="dxa"/>
            <w:vMerge/>
            <w:tcBorders>
              <w:top w:val="nil"/>
              <w:bottom w:val="single" w:sz="4" w:space="0" w:color="auto"/>
              <w:right w:val="single" w:sz="4" w:space="0" w:color="auto"/>
            </w:tcBorders>
            <w:vAlign w:val="center"/>
            <w:hideMark/>
          </w:tcPr>
          <w:p w14:paraId="1F8743DA" w14:textId="77777777" w:rsidR="0044035E" w:rsidRPr="00CA4A72" w:rsidRDefault="0044035E" w:rsidP="006A1A41">
            <w:pPr>
              <w:rPr>
                <w:rFonts w:asciiTheme="minorHAnsi" w:eastAsia="Times New Roman" w:hAnsiTheme="minorHAnsi" w:cstheme="minorHAnsi"/>
                <w:sz w:val="12"/>
                <w:szCs w:val="14"/>
                <w:lang w:eastAsia="fr-FR"/>
              </w:rPr>
            </w:pPr>
          </w:p>
        </w:tc>
        <w:tc>
          <w:tcPr>
            <w:tcW w:w="998" w:type="dxa"/>
            <w:tcBorders>
              <w:top w:val="single" w:sz="4" w:space="0" w:color="auto"/>
              <w:left w:val="single" w:sz="4" w:space="0" w:color="auto"/>
              <w:bottom w:val="nil"/>
            </w:tcBorders>
            <w:shd w:val="clear" w:color="auto" w:fill="auto"/>
            <w:vAlign w:val="bottom"/>
          </w:tcPr>
          <w:p w14:paraId="2342D66B" w14:textId="77777777" w:rsidR="0044035E" w:rsidRPr="00CA4A72" w:rsidRDefault="0044035E" w:rsidP="006A1A41">
            <w:pPr>
              <w:jc w:val="right"/>
              <w:rPr>
                <w:rFonts w:asciiTheme="minorHAnsi" w:eastAsia="Times New Roman" w:hAnsiTheme="minorHAnsi" w:cstheme="minorHAnsi"/>
                <w:b/>
                <w:bCs/>
                <w:sz w:val="12"/>
                <w:szCs w:val="14"/>
                <w:lang w:eastAsia="fr-FR"/>
              </w:rPr>
            </w:pPr>
            <w:r>
              <w:rPr>
                <w:rFonts w:asciiTheme="minorHAnsi" w:hAnsiTheme="minorHAnsi" w:cstheme="minorHAnsi"/>
                <w:b/>
                <w:bCs/>
                <w:sz w:val="12"/>
                <w:szCs w:val="14"/>
              </w:rPr>
              <w:t>June 30</w:t>
            </w:r>
            <w:r w:rsidRPr="00CA4A72">
              <w:rPr>
                <w:rFonts w:asciiTheme="minorHAnsi" w:hAnsiTheme="minorHAnsi" w:cstheme="minorHAnsi"/>
                <w:b/>
                <w:bCs/>
                <w:sz w:val="12"/>
                <w:szCs w:val="14"/>
              </w:rPr>
              <w:t>,</w:t>
            </w:r>
          </w:p>
        </w:tc>
        <w:tc>
          <w:tcPr>
            <w:tcW w:w="992" w:type="dxa"/>
            <w:tcBorders>
              <w:top w:val="single" w:sz="4" w:space="0" w:color="auto"/>
              <w:bottom w:val="nil"/>
            </w:tcBorders>
            <w:shd w:val="clear" w:color="auto" w:fill="auto"/>
            <w:vAlign w:val="bottom"/>
          </w:tcPr>
          <w:p w14:paraId="562880A4" w14:textId="77777777" w:rsidR="0044035E" w:rsidRPr="00CA4A72" w:rsidRDefault="0044035E" w:rsidP="006A1A41">
            <w:pPr>
              <w:jc w:val="right"/>
              <w:rPr>
                <w:rFonts w:asciiTheme="minorHAnsi" w:eastAsia="Times New Roman" w:hAnsiTheme="minorHAnsi" w:cstheme="minorHAnsi"/>
                <w:b/>
                <w:bCs/>
                <w:sz w:val="12"/>
                <w:szCs w:val="14"/>
                <w:lang w:eastAsia="fr-FR"/>
              </w:rPr>
            </w:pPr>
            <w:r>
              <w:rPr>
                <w:rFonts w:asciiTheme="minorHAnsi" w:hAnsiTheme="minorHAnsi" w:cstheme="minorHAnsi"/>
                <w:b/>
                <w:bCs/>
                <w:sz w:val="12"/>
                <w:szCs w:val="14"/>
              </w:rPr>
              <w:t>June 30</w:t>
            </w:r>
            <w:r w:rsidRPr="00CA4A72">
              <w:rPr>
                <w:rFonts w:asciiTheme="minorHAnsi" w:hAnsiTheme="minorHAnsi" w:cstheme="minorHAnsi"/>
                <w:b/>
                <w:bCs/>
                <w:sz w:val="12"/>
                <w:szCs w:val="14"/>
              </w:rPr>
              <w:t>,</w:t>
            </w:r>
          </w:p>
        </w:tc>
        <w:tc>
          <w:tcPr>
            <w:tcW w:w="992" w:type="dxa"/>
            <w:vMerge w:val="restart"/>
            <w:tcBorders>
              <w:top w:val="single" w:sz="4" w:space="0" w:color="auto"/>
              <w:bottom w:val="nil"/>
              <w:right w:val="single" w:sz="4" w:space="0" w:color="auto"/>
            </w:tcBorders>
            <w:shd w:val="clear" w:color="auto" w:fill="auto"/>
            <w:vAlign w:val="center"/>
          </w:tcPr>
          <w:p w14:paraId="6ADBEF23" w14:textId="77777777" w:rsidR="0044035E" w:rsidRPr="00CA4A72" w:rsidRDefault="0044035E" w:rsidP="006A1A41">
            <w:pPr>
              <w:jc w:val="right"/>
              <w:rPr>
                <w:rFonts w:asciiTheme="minorHAnsi" w:eastAsia="Times New Roman" w:hAnsiTheme="minorHAnsi" w:cstheme="minorHAnsi"/>
                <w:b/>
                <w:bCs/>
                <w:sz w:val="12"/>
                <w:szCs w:val="14"/>
                <w:lang w:eastAsia="fr-FR"/>
              </w:rPr>
            </w:pPr>
            <w:r w:rsidRPr="00CA4A72">
              <w:rPr>
                <w:rFonts w:asciiTheme="minorHAnsi" w:hAnsiTheme="minorHAnsi" w:cstheme="minorHAnsi"/>
                <w:b/>
                <w:bCs/>
                <w:sz w:val="12"/>
                <w:szCs w:val="14"/>
              </w:rPr>
              <w:t>Change</w:t>
            </w:r>
          </w:p>
        </w:tc>
        <w:tc>
          <w:tcPr>
            <w:tcW w:w="992" w:type="dxa"/>
            <w:tcBorders>
              <w:left w:val="single" w:sz="4" w:space="0" w:color="auto"/>
              <w:bottom w:val="nil"/>
            </w:tcBorders>
            <w:shd w:val="clear" w:color="auto" w:fill="auto"/>
            <w:vAlign w:val="bottom"/>
            <w:hideMark/>
          </w:tcPr>
          <w:p w14:paraId="12721092" w14:textId="77777777" w:rsidR="0044035E" w:rsidRPr="00CA4A72" w:rsidRDefault="0044035E" w:rsidP="006A1A41">
            <w:pPr>
              <w:jc w:val="right"/>
              <w:rPr>
                <w:rFonts w:asciiTheme="minorHAnsi" w:eastAsia="Times New Roman" w:hAnsiTheme="minorHAnsi" w:cstheme="minorHAnsi"/>
                <w:b/>
                <w:bCs/>
                <w:sz w:val="12"/>
                <w:szCs w:val="14"/>
                <w:lang w:eastAsia="fr-FR"/>
              </w:rPr>
            </w:pPr>
            <w:r>
              <w:rPr>
                <w:rFonts w:asciiTheme="minorHAnsi" w:hAnsiTheme="minorHAnsi" w:cstheme="minorHAnsi"/>
                <w:b/>
                <w:bCs/>
                <w:sz w:val="12"/>
                <w:szCs w:val="14"/>
              </w:rPr>
              <w:t>June 30</w:t>
            </w:r>
            <w:r w:rsidRPr="00CA4A72">
              <w:rPr>
                <w:rFonts w:asciiTheme="minorHAnsi" w:hAnsiTheme="minorHAnsi" w:cstheme="minorHAnsi"/>
                <w:b/>
                <w:bCs/>
                <w:sz w:val="12"/>
                <w:szCs w:val="14"/>
              </w:rPr>
              <w:t>,</w:t>
            </w:r>
          </w:p>
        </w:tc>
        <w:tc>
          <w:tcPr>
            <w:tcW w:w="993" w:type="dxa"/>
            <w:tcBorders>
              <w:bottom w:val="nil"/>
            </w:tcBorders>
            <w:shd w:val="clear" w:color="auto" w:fill="auto"/>
            <w:vAlign w:val="bottom"/>
            <w:hideMark/>
          </w:tcPr>
          <w:p w14:paraId="3CF27872" w14:textId="77777777" w:rsidR="0044035E" w:rsidRPr="00CA4A72" w:rsidRDefault="0044035E" w:rsidP="006A1A41">
            <w:pPr>
              <w:jc w:val="right"/>
              <w:rPr>
                <w:rFonts w:asciiTheme="minorHAnsi" w:eastAsia="Times New Roman" w:hAnsiTheme="minorHAnsi" w:cstheme="minorHAnsi"/>
                <w:b/>
                <w:bCs/>
                <w:sz w:val="12"/>
                <w:szCs w:val="14"/>
                <w:lang w:eastAsia="fr-FR"/>
              </w:rPr>
            </w:pPr>
            <w:r>
              <w:rPr>
                <w:rFonts w:asciiTheme="minorHAnsi" w:hAnsiTheme="minorHAnsi" w:cstheme="minorHAnsi"/>
                <w:b/>
                <w:bCs/>
                <w:sz w:val="12"/>
                <w:szCs w:val="14"/>
              </w:rPr>
              <w:t>June 30</w:t>
            </w:r>
            <w:r w:rsidRPr="00CA4A72">
              <w:rPr>
                <w:rFonts w:asciiTheme="minorHAnsi" w:hAnsiTheme="minorHAnsi" w:cstheme="minorHAnsi"/>
                <w:b/>
                <w:bCs/>
                <w:sz w:val="12"/>
                <w:szCs w:val="14"/>
              </w:rPr>
              <w:t>,</w:t>
            </w:r>
          </w:p>
        </w:tc>
        <w:tc>
          <w:tcPr>
            <w:tcW w:w="992" w:type="dxa"/>
            <w:vMerge w:val="restart"/>
            <w:tcBorders>
              <w:bottom w:val="nil"/>
            </w:tcBorders>
            <w:shd w:val="clear" w:color="auto" w:fill="auto"/>
            <w:vAlign w:val="center"/>
            <w:hideMark/>
          </w:tcPr>
          <w:p w14:paraId="3D038B3A" w14:textId="77777777" w:rsidR="0044035E" w:rsidRPr="00CA4A72" w:rsidRDefault="0044035E" w:rsidP="006A1A41">
            <w:pPr>
              <w:jc w:val="right"/>
              <w:rPr>
                <w:rFonts w:asciiTheme="minorHAnsi" w:eastAsia="Times New Roman" w:hAnsiTheme="minorHAnsi" w:cstheme="minorHAnsi"/>
                <w:b/>
                <w:bCs/>
                <w:sz w:val="12"/>
                <w:szCs w:val="14"/>
                <w:lang w:eastAsia="fr-FR"/>
              </w:rPr>
            </w:pPr>
            <w:r w:rsidRPr="00CA4A72">
              <w:rPr>
                <w:rFonts w:asciiTheme="minorHAnsi" w:eastAsia="Times New Roman" w:hAnsiTheme="minorHAnsi" w:cstheme="minorHAnsi"/>
                <w:b/>
                <w:bCs/>
                <w:sz w:val="12"/>
                <w:szCs w:val="14"/>
                <w:lang w:eastAsia="fr-FR"/>
              </w:rPr>
              <w:t>Change</w:t>
            </w:r>
          </w:p>
        </w:tc>
      </w:tr>
      <w:tr w:rsidR="0044035E" w:rsidRPr="00CA4A72" w14:paraId="37324C9D" w14:textId="77777777" w:rsidTr="006A1A41">
        <w:trPr>
          <w:trHeight w:val="170"/>
        </w:trPr>
        <w:tc>
          <w:tcPr>
            <w:tcW w:w="3392" w:type="dxa"/>
            <w:vMerge/>
            <w:tcBorders>
              <w:top w:val="nil"/>
              <w:bottom w:val="single" w:sz="4" w:space="0" w:color="auto"/>
              <w:right w:val="single" w:sz="4" w:space="0" w:color="auto"/>
            </w:tcBorders>
            <w:vAlign w:val="center"/>
            <w:hideMark/>
          </w:tcPr>
          <w:p w14:paraId="5B87A81D" w14:textId="77777777" w:rsidR="0044035E" w:rsidRPr="00CA4A72" w:rsidRDefault="0044035E" w:rsidP="006A1A41">
            <w:pPr>
              <w:rPr>
                <w:rFonts w:asciiTheme="minorHAnsi" w:eastAsia="Times New Roman" w:hAnsiTheme="minorHAnsi" w:cstheme="minorHAnsi"/>
                <w:sz w:val="12"/>
                <w:szCs w:val="14"/>
                <w:lang w:eastAsia="fr-FR"/>
              </w:rPr>
            </w:pPr>
          </w:p>
        </w:tc>
        <w:tc>
          <w:tcPr>
            <w:tcW w:w="998" w:type="dxa"/>
            <w:tcBorders>
              <w:top w:val="nil"/>
              <w:left w:val="single" w:sz="4" w:space="0" w:color="auto"/>
              <w:bottom w:val="single" w:sz="4" w:space="0" w:color="auto"/>
            </w:tcBorders>
            <w:shd w:val="clear" w:color="auto" w:fill="auto"/>
          </w:tcPr>
          <w:p w14:paraId="7E49429D" w14:textId="77777777" w:rsidR="0044035E" w:rsidRPr="00CA4A72" w:rsidRDefault="0044035E" w:rsidP="006A1A41">
            <w:pPr>
              <w:jc w:val="right"/>
              <w:rPr>
                <w:rFonts w:asciiTheme="minorHAnsi" w:eastAsia="Times New Roman" w:hAnsiTheme="minorHAnsi" w:cstheme="minorHAnsi"/>
                <w:b/>
                <w:bCs/>
                <w:sz w:val="12"/>
                <w:szCs w:val="14"/>
                <w:lang w:eastAsia="fr-FR"/>
              </w:rPr>
            </w:pPr>
            <w:r w:rsidRPr="00CA4A72">
              <w:rPr>
                <w:rFonts w:asciiTheme="minorHAnsi" w:hAnsiTheme="minorHAnsi" w:cstheme="minorHAnsi"/>
                <w:b/>
                <w:bCs/>
                <w:sz w:val="12"/>
                <w:szCs w:val="14"/>
              </w:rPr>
              <w:t>2020</w:t>
            </w:r>
          </w:p>
        </w:tc>
        <w:tc>
          <w:tcPr>
            <w:tcW w:w="992" w:type="dxa"/>
            <w:tcBorders>
              <w:top w:val="nil"/>
              <w:bottom w:val="single" w:sz="4" w:space="0" w:color="auto"/>
            </w:tcBorders>
            <w:shd w:val="clear" w:color="auto" w:fill="auto"/>
          </w:tcPr>
          <w:p w14:paraId="5B8D7852" w14:textId="77777777" w:rsidR="0044035E" w:rsidRPr="00CA4A72" w:rsidRDefault="0044035E" w:rsidP="006A1A41">
            <w:pPr>
              <w:jc w:val="right"/>
              <w:rPr>
                <w:rFonts w:asciiTheme="minorHAnsi" w:eastAsia="Times New Roman" w:hAnsiTheme="minorHAnsi" w:cstheme="minorHAnsi"/>
                <w:b/>
                <w:bCs/>
                <w:sz w:val="12"/>
                <w:szCs w:val="14"/>
                <w:lang w:eastAsia="fr-FR"/>
              </w:rPr>
            </w:pPr>
            <w:r w:rsidRPr="00CA4A72">
              <w:rPr>
                <w:rFonts w:asciiTheme="minorHAnsi" w:hAnsiTheme="minorHAnsi" w:cstheme="minorHAnsi"/>
                <w:b/>
                <w:bCs/>
                <w:sz w:val="12"/>
                <w:szCs w:val="14"/>
              </w:rPr>
              <w:t>2019</w:t>
            </w:r>
          </w:p>
        </w:tc>
        <w:tc>
          <w:tcPr>
            <w:tcW w:w="992" w:type="dxa"/>
            <w:vMerge/>
            <w:tcBorders>
              <w:top w:val="nil"/>
              <w:bottom w:val="single" w:sz="4" w:space="0" w:color="auto"/>
              <w:right w:val="single" w:sz="4" w:space="0" w:color="auto"/>
            </w:tcBorders>
            <w:vAlign w:val="center"/>
          </w:tcPr>
          <w:p w14:paraId="5D4DC238" w14:textId="77777777" w:rsidR="0044035E" w:rsidRPr="00CA4A72" w:rsidRDefault="0044035E" w:rsidP="006A1A41">
            <w:pPr>
              <w:jc w:val="right"/>
              <w:rPr>
                <w:rFonts w:asciiTheme="minorHAnsi" w:eastAsia="Times New Roman" w:hAnsiTheme="minorHAnsi" w:cstheme="minorHAnsi"/>
                <w:b/>
                <w:bCs/>
                <w:sz w:val="12"/>
                <w:szCs w:val="14"/>
                <w:lang w:eastAsia="fr-FR"/>
              </w:rPr>
            </w:pPr>
          </w:p>
        </w:tc>
        <w:tc>
          <w:tcPr>
            <w:tcW w:w="992" w:type="dxa"/>
            <w:tcBorders>
              <w:top w:val="nil"/>
              <w:left w:val="single" w:sz="4" w:space="0" w:color="auto"/>
              <w:bottom w:val="single" w:sz="4" w:space="0" w:color="auto"/>
            </w:tcBorders>
            <w:shd w:val="clear" w:color="auto" w:fill="auto"/>
            <w:hideMark/>
          </w:tcPr>
          <w:p w14:paraId="0B20D5C8" w14:textId="77777777" w:rsidR="0044035E" w:rsidRPr="00CA4A72" w:rsidRDefault="0044035E" w:rsidP="006A1A41">
            <w:pPr>
              <w:jc w:val="right"/>
              <w:rPr>
                <w:rFonts w:asciiTheme="minorHAnsi" w:hAnsiTheme="minorHAnsi" w:cstheme="minorHAnsi"/>
                <w:b/>
                <w:bCs/>
                <w:sz w:val="12"/>
                <w:szCs w:val="14"/>
              </w:rPr>
            </w:pPr>
            <w:r w:rsidRPr="00CA4A72">
              <w:rPr>
                <w:rFonts w:asciiTheme="minorHAnsi" w:hAnsiTheme="minorHAnsi" w:cstheme="minorHAnsi"/>
                <w:b/>
                <w:bCs/>
                <w:sz w:val="12"/>
                <w:szCs w:val="14"/>
              </w:rPr>
              <w:t>2020</w:t>
            </w:r>
          </w:p>
        </w:tc>
        <w:tc>
          <w:tcPr>
            <w:tcW w:w="993" w:type="dxa"/>
            <w:tcBorders>
              <w:top w:val="nil"/>
              <w:bottom w:val="single" w:sz="4" w:space="0" w:color="auto"/>
            </w:tcBorders>
            <w:shd w:val="clear" w:color="auto" w:fill="auto"/>
            <w:hideMark/>
          </w:tcPr>
          <w:p w14:paraId="05B621AB" w14:textId="77777777" w:rsidR="0044035E" w:rsidRPr="00CA4A72" w:rsidRDefault="0044035E" w:rsidP="006A1A41">
            <w:pPr>
              <w:jc w:val="right"/>
              <w:rPr>
                <w:rFonts w:asciiTheme="minorHAnsi" w:hAnsiTheme="minorHAnsi" w:cstheme="minorHAnsi"/>
                <w:b/>
                <w:bCs/>
                <w:sz w:val="12"/>
                <w:szCs w:val="14"/>
              </w:rPr>
            </w:pPr>
            <w:r w:rsidRPr="00CA4A72">
              <w:rPr>
                <w:rFonts w:asciiTheme="minorHAnsi" w:hAnsiTheme="minorHAnsi" w:cstheme="minorHAnsi"/>
                <w:b/>
                <w:bCs/>
                <w:sz w:val="12"/>
                <w:szCs w:val="14"/>
              </w:rPr>
              <w:t>2019</w:t>
            </w:r>
          </w:p>
        </w:tc>
        <w:tc>
          <w:tcPr>
            <w:tcW w:w="992" w:type="dxa"/>
            <w:vMerge/>
            <w:tcBorders>
              <w:top w:val="nil"/>
              <w:bottom w:val="single" w:sz="4" w:space="0" w:color="auto"/>
            </w:tcBorders>
            <w:vAlign w:val="center"/>
            <w:hideMark/>
          </w:tcPr>
          <w:p w14:paraId="37363F97" w14:textId="77777777" w:rsidR="0044035E" w:rsidRPr="00CA4A72" w:rsidRDefault="0044035E" w:rsidP="006A1A41">
            <w:pPr>
              <w:rPr>
                <w:rFonts w:asciiTheme="minorHAnsi" w:eastAsia="Times New Roman" w:hAnsiTheme="minorHAnsi" w:cstheme="minorHAnsi"/>
                <w:b/>
                <w:bCs/>
                <w:sz w:val="12"/>
                <w:szCs w:val="14"/>
                <w:lang w:eastAsia="fr-FR"/>
              </w:rPr>
            </w:pPr>
          </w:p>
        </w:tc>
      </w:tr>
      <w:tr w:rsidR="0044035E" w:rsidRPr="00CA4A72" w14:paraId="11EB3778" w14:textId="77777777" w:rsidTr="006A1A41">
        <w:trPr>
          <w:trHeight w:val="170"/>
        </w:trPr>
        <w:tc>
          <w:tcPr>
            <w:tcW w:w="3392" w:type="dxa"/>
            <w:tcBorders>
              <w:top w:val="single" w:sz="4" w:space="0" w:color="auto"/>
              <w:bottom w:val="nil"/>
              <w:right w:val="single" w:sz="4" w:space="0" w:color="auto"/>
            </w:tcBorders>
            <w:shd w:val="clear" w:color="auto" w:fill="auto"/>
            <w:hideMark/>
          </w:tcPr>
          <w:p w14:paraId="1FB1E4D3" w14:textId="77777777" w:rsidR="0044035E" w:rsidRPr="009233D9" w:rsidRDefault="0044035E" w:rsidP="006A1A41">
            <w:pPr>
              <w:rPr>
                <w:rFonts w:asciiTheme="minorHAnsi" w:eastAsia="Times New Roman" w:hAnsiTheme="minorHAnsi" w:cstheme="minorHAnsi"/>
                <w:sz w:val="12"/>
                <w:szCs w:val="12"/>
                <w:highlight w:val="yellow"/>
                <w:lang w:eastAsia="fr-FR"/>
              </w:rPr>
            </w:pPr>
            <w:r w:rsidRPr="009233D9">
              <w:rPr>
                <w:rFonts w:asciiTheme="minorHAnsi" w:hAnsiTheme="minorHAnsi" w:cstheme="minorHAnsi"/>
                <w:sz w:val="12"/>
                <w:szCs w:val="12"/>
              </w:rPr>
              <w:t>Net income attributable to equity holders of the parent</w:t>
            </w:r>
          </w:p>
        </w:tc>
        <w:tc>
          <w:tcPr>
            <w:tcW w:w="998" w:type="dxa"/>
            <w:tcBorders>
              <w:top w:val="single" w:sz="4" w:space="0" w:color="auto"/>
              <w:left w:val="single" w:sz="4" w:space="0" w:color="auto"/>
              <w:bottom w:val="nil"/>
            </w:tcBorders>
            <w:shd w:val="clear" w:color="auto" w:fill="auto"/>
          </w:tcPr>
          <w:p w14:paraId="06A43890"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83.0 </w:t>
            </w:r>
          </w:p>
        </w:tc>
        <w:tc>
          <w:tcPr>
            <w:tcW w:w="992" w:type="dxa"/>
            <w:tcBorders>
              <w:top w:val="single" w:sz="4" w:space="0" w:color="auto"/>
              <w:bottom w:val="nil"/>
            </w:tcBorders>
            <w:shd w:val="clear" w:color="auto" w:fill="auto"/>
          </w:tcPr>
          <w:p w14:paraId="651AB1D8"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134.1 </w:t>
            </w:r>
          </w:p>
        </w:tc>
        <w:tc>
          <w:tcPr>
            <w:tcW w:w="992" w:type="dxa"/>
            <w:tcBorders>
              <w:top w:val="single" w:sz="4" w:space="0" w:color="auto"/>
              <w:bottom w:val="nil"/>
              <w:right w:val="single" w:sz="4" w:space="0" w:color="auto"/>
            </w:tcBorders>
            <w:shd w:val="clear" w:color="auto" w:fill="auto"/>
          </w:tcPr>
          <w:p w14:paraId="4C259AE3"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(51.1)</w:t>
            </w:r>
          </w:p>
        </w:tc>
        <w:tc>
          <w:tcPr>
            <w:tcW w:w="992" w:type="dxa"/>
            <w:tcBorders>
              <w:top w:val="single" w:sz="4" w:space="0" w:color="auto"/>
              <w:left w:val="single" w:sz="4" w:space="0" w:color="auto"/>
            </w:tcBorders>
            <w:shd w:val="clear" w:color="auto" w:fill="auto"/>
          </w:tcPr>
          <w:p w14:paraId="59B3D420"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195.4 </w:t>
            </w:r>
          </w:p>
        </w:tc>
        <w:tc>
          <w:tcPr>
            <w:tcW w:w="993" w:type="dxa"/>
            <w:tcBorders>
              <w:top w:val="single" w:sz="4" w:space="0" w:color="auto"/>
            </w:tcBorders>
            <w:shd w:val="clear" w:color="auto" w:fill="auto"/>
          </w:tcPr>
          <w:p w14:paraId="62DDAB69"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294.9 </w:t>
            </w:r>
          </w:p>
        </w:tc>
        <w:tc>
          <w:tcPr>
            <w:tcW w:w="992" w:type="dxa"/>
            <w:tcBorders>
              <w:top w:val="single" w:sz="4" w:space="0" w:color="auto"/>
            </w:tcBorders>
            <w:shd w:val="clear" w:color="auto" w:fill="auto"/>
          </w:tcPr>
          <w:p w14:paraId="6D05C88A"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(99.5)</w:t>
            </w:r>
          </w:p>
        </w:tc>
      </w:tr>
      <w:tr w:rsidR="0044035E" w:rsidRPr="00CA4A72" w14:paraId="475878BA" w14:textId="77777777" w:rsidTr="006A1A41">
        <w:trPr>
          <w:trHeight w:val="170"/>
        </w:trPr>
        <w:tc>
          <w:tcPr>
            <w:tcW w:w="3392" w:type="dxa"/>
            <w:tcBorders>
              <w:top w:val="nil"/>
              <w:bottom w:val="nil"/>
              <w:right w:val="single" w:sz="4" w:space="0" w:color="auto"/>
            </w:tcBorders>
            <w:shd w:val="clear" w:color="auto" w:fill="auto"/>
            <w:hideMark/>
          </w:tcPr>
          <w:p w14:paraId="07BBA846" w14:textId="77777777" w:rsidR="0044035E" w:rsidRPr="009233D9" w:rsidRDefault="0044035E" w:rsidP="006A1A41">
            <w:pPr>
              <w:rPr>
                <w:rFonts w:asciiTheme="minorHAnsi" w:eastAsia="Times New Roman" w:hAnsiTheme="minorHAnsi" w:cstheme="minorHAnsi"/>
                <w:sz w:val="12"/>
                <w:szCs w:val="12"/>
                <w:highlight w:val="yellow"/>
                <w:lang w:eastAsia="fr-FR"/>
              </w:rPr>
            </w:pPr>
            <w:r w:rsidRPr="009233D9">
              <w:rPr>
                <w:rFonts w:asciiTheme="minorHAnsi" w:hAnsiTheme="minorHAnsi" w:cstheme="minorHAnsi"/>
                <w:sz w:val="12"/>
                <w:szCs w:val="12"/>
              </w:rPr>
              <w:t>Non-controlling interest</w:t>
            </w:r>
          </w:p>
        </w:tc>
        <w:tc>
          <w:tcPr>
            <w:tcW w:w="998" w:type="dxa"/>
            <w:tcBorders>
              <w:top w:val="nil"/>
              <w:left w:val="single" w:sz="4" w:space="0" w:color="auto"/>
              <w:bottom w:val="nil"/>
            </w:tcBorders>
            <w:shd w:val="clear" w:color="auto" w:fill="auto"/>
          </w:tcPr>
          <w:p w14:paraId="45334951" w14:textId="77777777" w:rsidR="0044035E" w:rsidRPr="00FE3AF9" w:rsidRDefault="0044035E" w:rsidP="006A1A41">
            <w:pPr>
              <w:ind w:firstLineChars="100" w:firstLine="120"/>
              <w:jc w:val="right"/>
              <w:rPr>
                <w:rFonts w:asciiTheme="minorHAnsi" w:eastAsia="Times New Roman" w:hAnsiTheme="minorHAnsi" w:cstheme="minorHAnsi"/>
                <w:sz w:val="12"/>
                <w:szCs w:val="12"/>
                <w:u w:val="single"/>
                <w:lang w:eastAsia="fr-FR"/>
              </w:rPr>
            </w:pPr>
            <w:r w:rsidRPr="00FE3AF9">
              <w:rPr>
                <w:rFonts w:asciiTheme="minorHAnsi" w:hAnsiTheme="minorHAnsi" w:cstheme="minorHAnsi"/>
                <w:color w:val="000000"/>
                <w:sz w:val="12"/>
                <w:szCs w:val="12"/>
                <w:u w:val="single"/>
              </w:rPr>
              <w:t>(2.9)</w:t>
            </w:r>
          </w:p>
        </w:tc>
        <w:tc>
          <w:tcPr>
            <w:tcW w:w="992" w:type="dxa"/>
            <w:tcBorders>
              <w:top w:val="nil"/>
              <w:bottom w:val="nil"/>
            </w:tcBorders>
            <w:shd w:val="clear" w:color="auto" w:fill="auto"/>
          </w:tcPr>
          <w:p w14:paraId="5B9071A1" w14:textId="77777777" w:rsidR="0044035E" w:rsidRPr="00FE3AF9" w:rsidRDefault="0044035E" w:rsidP="006A1A41">
            <w:pPr>
              <w:ind w:firstLineChars="100" w:firstLine="120"/>
              <w:jc w:val="right"/>
              <w:rPr>
                <w:rFonts w:asciiTheme="minorHAnsi" w:eastAsia="Times New Roman" w:hAnsiTheme="minorHAnsi" w:cstheme="minorHAnsi"/>
                <w:sz w:val="12"/>
                <w:szCs w:val="12"/>
                <w:u w:val="single"/>
                <w:lang w:eastAsia="fr-FR"/>
              </w:rPr>
            </w:pPr>
            <w:r w:rsidRPr="00FE3AF9">
              <w:rPr>
                <w:rFonts w:asciiTheme="minorHAnsi" w:hAnsiTheme="minorHAnsi" w:cstheme="minorHAnsi"/>
                <w:color w:val="000000"/>
                <w:sz w:val="12"/>
                <w:szCs w:val="12"/>
                <w:u w:val="single"/>
              </w:rPr>
              <w:t>(2.8)</w:t>
            </w:r>
          </w:p>
        </w:tc>
        <w:tc>
          <w:tcPr>
            <w:tcW w:w="992" w:type="dxa"/>
            <w:tcBorders>
              <w:top w:val="nil"/>
              <w:bottom w:val="nil"/>
              <w:right w:val="single" w:sz="4" w:space="0" w:color="auto"/>
            </w:tcBorders>
            <w:shd w:val="clear" w:color="auto" w:fill="auto"/>
          </w:tcPr>
          <w:p w14:paraId="4F641916" w14:textId="77777777" w:rsidR="0044035E" w:rsidRPr="00FE3AF9" w:rsidRDefault="0044035E" w:rsidP="006A1A41">
            <w:pPr>
              <w:ind w:firstLineChars="100" w:firstLine="120"/>
              <w:jc w:val="right"/>
              <w:rPr>
                <w:rFonts w:asciiTheme="minorHAnsi" w:eastAsia="Times New Roman" w:hAnsiTheme="minorHAnsi" w:cstheme="minorHAnsi"/>
                <w:sz w:val="12"/>
                <w:szCs w:val="12"/>
                <w:u w:val="single"/>
                <w:lang w:eastAsia="fr-FR"/>
              </w:rPr>
            </w:pPr>
            <w:r w:rsidRPr="00FE3AF9">
              <w:rPr>
                <w:rFonts w:asciiTheme="minorHAnsi" w:hAnsiTheme="minorHAnsi" w:cstheme="minorHAnsi"/>
                <w:color w:val="000000"/>
                <w:sz w:val="12"/>
                <w:szCs w:val="12"/>
                <w:u w:val="single"/>
              </w:rPr>
              <w:t>(0.0)</w:t>
            </w:r>
          </w:p>
        </w:tc>
        <w:tc>
          <w:tcPr>
            <w:tcW w:w="992" w:type="dxa"/>
            <w:tcBorders>
              <w:left w:val="single" w:sz="4" w:space="0" w:color="auto"/>
            </w:tcBorders>
            <w:shd w:val="clear" w:color="auto" w:fill="auto"/>
          </w:tcPr>
          <w:p w14:paraId="4E233489" w14:textId="77777777" w:rsidR="0044035E" w:rsidRPr="00FE3AF9" w:rsidRDefault="0044035E" w:rsidP="006A1A41">
            <w:pPr>
              <w:ind w:firstLineChars="100" w:firstLine="120"/>
              <w:jc w:val="right"/>
              <w:rPr>
                <w:rFonts w:asciiTheme="minorHAnsi" w:eastAsia="Times New Roman" w:hAnsiTheme="minorHAnsi" w:cstheme="minorHAnsi"/>
                <w:sz w:val="12"/>
                <w:szCs w:val="12"/>
                <w:u w:val="single"/>
                <w:lang w:eastAsia="fr-FR"/>
              </w:rPr>
            </w:pPr>
            <w:r w:rsidRPr="00FE3AF9">
              <w:rPr>
                <w:rFonts w:asciiTheme="minorHAnsi" w:hAnsiTheme="minorHAnsi" w:cstheme="minorHAnsi"/>
                <w:color w:val="000000"/>
                <w:sz w:val="12"/>
                <w:szCs w:val="12"/>
                <w:u w:val="single"/>
              </w:rPr>
              <w:t>(6.1)</w:t>
            </w:r>
          </w:p>
        </w:tc>
        <w:tc>
          <w:tcPr>
            <w:tcW w:w="993" w:type="dxa"/>
            <w:shd w:val="clear" w:color="auto" w:fill="auto"/>
          </w:tcPr>
          <w:p w14:paraId="37A359EA" w14:textId="77777777" w:rsidR="0044035E" w:rsidRPr="00FE3AF9" w:rsidRDefault="0044035E" w:rsidP="006A1A41">
            <w:pPr>
              <w:ind w:firstLineChars="100" w:firstLine="120"/>
              <w:jc w:val="right"/>
              <w:rPr>
                <w:rFonts w:asciiTheme="minorHAnsi" w:eastAsia="Times New Roman" w:hAnsiTheme="minorHAnsi" w:cstheme="minorHAnsi"/>
                <w:sz w:val="12"/>
                <w:szCs w:val="12"/>
                <w:u w:val="single"/>
                <w:lang w:eastAsia="fr-FR"/>
              </w:rPr>
            </w:pPr>
            <w:r w:rsidRPr="00FE3AF9">
              <w:rPr>
                <w:rFonts w:asciiTheme="minorHAnsi" w:hAnsiTheme="minorHAnsi" w:cstheme="minorHAnsi"/>
                <w:color w:val="000000"/>
                <w:sz w:val="12"/>
                <w:szCs w:val="12"/>
                <w:u w:val="single"/>
              </w:rPr>
              <w:t>(5.6)</w:t>
            </w:r>
          </w:p>
        </w:tc>
        <w:tc>
          <w:tcPr>
            <w:tcW w:w="992" w:type="dxa"/>
            <w:shd w:val="clear" w:color="auto" w:fill="auto"/>
          </w:tcPr>
          <w:p w14:paraId="10BD404D" w14:textId="77777777" w:rsidR="0044035E" w:rsidRPr="00FE3AF9" w:rsidRDefault="0044035E" w:rsidP="006A1A41">
            <w:pPr>
              <w:ind w:firstLineChars="100" w:firstLine="120"/>
              <w:jc w:val="right"/>
              <w:rPr>
                <w:rFonts w:asciiTheme="minorHAnsi" w:eastAsia="Times New Roman" w:hAnsiTheme="minorHAnsi" w:cstheme="minorHAnsi"/>
                <w:sz w:val="12"/>
                <w:szCs w:val="12"/>
                <w:u w:val="single"/>
                <w:lang w:eastAsia="fr-FR"/>
              </w:rPr>
            </w:pPr>
            <w:r w:rsidRPr="00FE3AF9">
              <w:rPr>
                <w:rFonts w:asciiTheme="minorHAnsi" w:hAnsiTheme="minorHAnsi" w:cstheme="minorHAnsi"/>
                <w:color w:val="000000"/>
                <w:sz w:val="12"/>
                <w:szCs w:val="12"/>
                <w:u w:val="single"/>
              </w:rPr>
              <w:t>(0.5)</w:t>
            </w:r>
          </w:p>
        </w:tc>
      </w:tr>
      <w:tr w:rsidR="0044035E" w:rsidRPr="00CA4A72" w14:paraId="01A9247D" w14:textId="77777777" w:rsidTr="006A1A41">
        <w:trPr>
          <w:trHeight w:val="170"/>
        </w:trPr>
        <w:tc>
          <w:tcPr>
            <w:tcW w:w="3392" w:type="dxa"/>
            <w:tcBorders>
              <w:top w:val="nil"/>
              <w:bottom w:val="nil"/>
              <w:right w:val="single" w:sz="4" w:space="0" w:color="auto"/>
            </w:tcBorders>
            <w:shd w:val="clear" w:color="auto" w:fill="auto"/>
            <w:hideMark/>
          </w:tcPr>
          <w:p w14:paraId="281C5E99" w14:textId="77777777" w:rsidR="0044035E" w:rsidRPr="009233D9" w:rsidRDefault="0044035E" w:rsidP="006A1A41">
            <w:pPr>
              <w:rPr>
                <w:rFonts w:asciiTheme="minorHAnsi" w:eastAsia="Times New Roman" w:hAnsiTheme="minorHAnsi" w:cstheme="minorHAnsi"/>
                <w:sz w:val="12"/>
                <w:szCs w:val="12"/>
                <w:highlight w:val="yellow"/>
                <w:lang w:eastAsia="fr-FR"/>
              </w:rPr>
            </w:pPr>
            <w:r w:rsidRPr="009233D9">
              <w:rPr>
                <w:rFonts w:asciiTheme="minorHAnsi" w:hAnsiTheme="minorHAnsi" w:cstheme="minorHAnsi"/>
                <w:sz w:val="12"/>
                <w:szCs w:val="12"/>
              </w:rPr>
              <w:t>Net income</w:t>
            </w:r>
          </w:p>
        </w:tc>
        <w:tc>
          <w:tcPr>
            <w:tcW w:w="998" w:type="dxa"/>
            <w:tcBorders>
              <w:top w:val="nil"/>
              <w:left w:val="single" w:sz="4" w:space="0" w:color="auto"/>
              <w:bottom w:val="nil"/>
            </w:tcBorders>
            <w:shd w:val="clear" w:color="auto" w:fill="auto"/>
          </w:tcPr>
          <w:p w14:paraId="6365E40E"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80.1 </w:t>
            </w:r>
          </w:p>
        </w:tc>
        <w:tc>
          <w:tcPr>
            <w:tcW w:w="992" w:type="dxa"/>
            <w:tcBorders>
              <w:top w:val="nil"/>
              <w:bottom w:val="nil"/>
            </w:tcBorders>
            <w:shd w:val="clear" w:color="auto" w:fill="auto"/>
          </w:tcPr>
          <w:p w14:paraId="56EACA12"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131.2 </w:t>
            </w:r>
          </w:p>
        </w:tc>
        <w:tc>
          <w:tcPr>
            <w:tcW w:w="992" w:type="dxa"/>
            <w:tcBorders>
              <w:top w:val="nil"/>
              <w:bottom w:val="nil"/>
              <w:right w:val="single" w:sz="4" w:space="0" w:color="auto"/>
            </w:tcBorders>
            <w:shd w:val="clear" w:color="auto" w:fill="auto"/>
          </w:tcPr>
          <w:p w14:paraId="0856FE57"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(51.1)</w:t>
            </w:r>
          </w:p>
        </w:tc>
        <w:tc>
          <w:tcPr>
            <w:tcW w:w="992" w:type="dxa"/>
            <w:tcBorders>
              <w:left w:val="single" w:sz="4" w:space="0" w:color="auto"/>
            </w:tcBorders>
            <w:shd w:val="clear" w:color="auto" w:fill="auto"/>
          </w:tcPr>
          <w:p w14:paraId="0C68155E"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189.3 </w:t>
            </w:r>
          </w:p>
        </w:tc>
        <w:tc>
          <w:tcPr>
            <w:tcW w:w="993" w:type="dxa"/>
            <w:shd w:val="clear" w:color="auto" w:fill="auto"/>
          </w:tcPr>
          <w:p w14:paraId="10086EC0"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289.3 </w:t>
            </w:r>
          </w:p>
        </w:tc>
        <w:tc>
          <w:tcPr>
            <w:tcW w:w="992" w:type="dxa"/>
            <w:shd w:val="clear" w:color="auto" w:fill="auto"/>
          </w:tcPr>
          <w:p w14:paraId="2E8D66AF"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(100.0)</w:t>
            </w:r>
          </w:p>
        </w:tc>
      </w:tr>
      <w:tr w:rsidR="0044035E" w:rsidRPr="00CA4A72" w14:paraId="4D73027C" w14:textId="77777777" w:rsidTr="006A1A41">
        <w:trPr>
          <w:trHeight w:val="170"/>
        </w:trPr>
        <w:tc>
          <w:tcPr>
            <w:tcW w:w="3392" w:type="dxa"/>
            <w:tcBorders>
              <w:top w:val="nil"/>
              <w:bottom w:val="nil"/>
              <w:right w:val="single" w:sz="4" w:space="0" w:color="auto"/>
            </w:tcBorders>
            <w:shd w:val="clear" w:color="auto" w:fill="auto"/>
            <w:hideMark/>
          </w:tcPr>
          <w:p w14:paraId="50E98BE0" w14:textId="77777777" w:rsidR="0044035E" w:rsidRPr="009233D9" w:rsidRDefault="0044035E" w:rsidP="006A1A41">
            <w:pPr>
              <w:rPr>
                <w:rFonts w:asciiTheme="minorHAnsi" w:eastAsia="Times New Roman" w:hAnsiTheme="minorHAnsi" w:cstheme="minorHAnsi"/>
                <w:sz w:val="12"/>
                <w:szCs w:val="12"/>
                <w:highlight w:val="yellow"/>
                <w:lang w:eastAsia="fr-FR"/>
              </w:rPr>
            </w:pPr>
            <w:r w:rsidRPr="009233D9">
              <w:rPr>
                <w:rFonts w:asciiTheme="minorHAnsi" w:hAnsiTheme="minorHAnsi" w:cstheme="minorHAnsi"/>
                <w:sz w:val="12"/>
                <w:szCs w:val="12"/>
              </w:rPr>
              <w:t>Depreciation of property and equipment</w:t>
            </w:r>
          </w:p>
        </w:tc>
        <w:tc>
          <w:tcPr>
            <w:tcW w:w="998" w:type="dxa"/>
            <w:tcBorders>
              <w:top w:val="nil"/>
              <w:left w:val="single" w:sz="4" w:space="0" w:color="auto"/>
              <w:bottom w:val="nil"/>
            </w:tcBorders>
            <w:shd w:val="clear" w:color="auto" w:fill="auto"/>
          </w:tcPr>
          <w:p w14:paraId="2AA8009F"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42.8 </w:t>
            </w:r>
          </w:p>
        </w:tc>
        <w:tc>
          <w:tcPr>
            <w:tcW w:w="992" w:type="dxa"/>
            <w:tcBorders>
              <w:top w:val="nil"/>
              <w:bottom w:val="nil"/>
            </w:tcBorders>
            <w:shd w:val="clear" w:color="auto" w:fill="auto"/>
          </w:tcPr>
          <w:p w14:paraId="0A2C9674"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33.6 </w:t>
            </w:r>
          </w:p>
        </w:tc>
        <w:tc>
          <w:tcPr>
            <w:tcW w:w="992" w:type="dxa"/>
            <w:tcBorders>
              <w:top w:val="nil"/>
              <w:bottom w:val="nil"/>
              <w:right w:val="single" w:sz="4" w:space="0" w:color="auto"/>
            </w:tcBorders>
            <w:shd w:val="clear" w:color="auto" w:fill="auto"/>
          </w:tcPr>
          <w:p w14:paraId="6B948694"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9.3 </w:t>
            </w:r>
          </w:p>
        </w:tc>
        <w:tc>
          <w:tcPr>
            <w:tcW w:w="992" w:type="dxa"/>
            <w:tcBorders>
              <w:left w:val="single" w:sz="4" w:space="0" w:color="auto"/>
            </w:tcBorders>
            <w:shd w:val="clear" w:color="auto" w:fill="auto"/>
          </w:tcPr>
          <w:p w14:paraId="3BFBBC93"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91.7 </w:t>
            </w:r>
          </w:p>
        </w:tc>
        <w:tc>
          <w:tcPr>
            <w:tcW w:w="993" w:type="dxa"/>
            <w:shd w:val="clear" w:color="auto" w:fill="auto"/>
          </w:tcPr>
          <w:p w14:paraId="437E20F4"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65.3 </w:t>
            </w:r>
          </w:p>
        </w:tc>
        <w:tc>
          <w:tcPr>
            <w:tcW w:w="992" w:type="dxa"/>
            <w:shd w:val="clear" w:color="auto" w:fill="auto"/>
          </w:tcPr>
          <w:p w14:paraId="58C30A67"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26.5 </w:t>
            </w:r>
          </w:p>
        </w:tc>
      </w:tr>
      <w:tr w:rsidR="0044035E" w:rsidRPr="00CA4A72" w14:paraId="6240AE68" w14:textId="77777777" w:rsidTr="006A1A41">
        <w:trPr>
          <w:trHeight w:val="170"/>
        </w:trPr>
        <w:tc>
          <w:tcPr>
            <w:tcW w:w="3392" w:type="dxa"/>
            <w:tcBorders>
              <w:top w:val="nil"/>
              <w:bottom w:val="nil"/>
              <w:right w:val="single" w:sz="4" w:space="0" w:color="auto"/>
            </w:tcBorders>
            <w:shd w:val="clear" w:color="auto" w:fill="auto"/>
            <w:hideMark/>
          </w:tcPr>
          <w:p w14:paraId="50332C8F" w14:textId="77777777" w:rsidR="0044035E" w:rsidRPr="009233D9" w:rsidRDefault="0044035E" w:rsidP="006A1A41">
            <w:pPr>
              <w:rPr>
                <w:rFonts w:asciiTheme="minorHAnsi" w:eastAsia="Times New Roman" w:hAnsiTheme="minorHAnsi" w:cstheme="minorHAnsi"/>
                <w:sz w:val="12"/>
                <w:szCs w:val="12"/>
                <w:highlight w:val="yellow"/>
                <w:lang w:eastAsia="fr-FR"/>
              </w:rPr>
            </w:pPr>
            <w:r w:rsidRPr="009233D9">
              <w:rPr>
                <w:rFonts w:asciiTheme="minorHAnsi" w:hAnsiTheme="minorHAnsi" w:cstheme="minorHAnsi"/>
                <w:sz w:val="12"/>
                <w:szCs w:val="12"/>
              </w:rPr>
              <w:t>Amortization of intangible assets</w:t>
            </w:r>
          </w:p>
        </w:tc>
        <w:tc>
          <w:tcPr>
            <w:tcW w:w="998" w:type="dxa"/>
            <w:tcBorders>
              <w:top w:val="nil"/>
              <w:left w:val="single" w:sz="4" w:space="0" w:color="auto"/>
              <w:bottom w:val="nil"/>
            </w:tcBorders>
            <w:shd w:val="clear" w:color="auto" w:fill="auto"/>
          </w:tcPr>
          <w:p w14:paraId="564137CC"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103.4 </w:t>
            </w:r>
          </w:p>
        </w:tc>
        <w:tc>
          <w:tcPr>
            <w:tcW w:w="992" w:type="dxa"/>
            <w:tcBorders>
              <w:top w:val="nil"/>
              <w:bottom w:val="nil"/>
            </w:tcBorders>
            <w:shd w:val="clear" w:color="auto" w:fill="auto"/>
          </w:tcPr>
          <w:p w14:paraId="1F0682C0"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53.3 </w:t>
            </w:r>
          </w:p>
        </w:tc>
        <w:tc>
          <w:tcPr>
            <w:tcW w:w="992" w:type="dxa"/>
            <w:tcBorders>
              <w:top w:val="nil"/>
              <w:bottom w:val="nil"/>
              <w:right w:val="single" w:sz="4" w:space="0" w:color="auto"/>
            </w:tcBorders>
            <w:shd w:val="clear" w:color="auto" w:fill="auto"/>
          </w:tcPr>
          <w:p w14:paraId="57D2B9F8"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50.2 </w:t>
            </w:r>
          </w:p>
        </w:tc>
        <w:tc>
          <w:tcPr>
            <w:tcW w:w="992" w:type="dxa"/>
            <w:tcBorders>
              <w:left w:val="single" w:sz="4" w:space="0" w:color="auto"/>
            </w:tcBorders>
            <w:shd w:val="clear" w:color="auto" w:fill="auto"/>
          </w:tcPr>
          <w:p w14:paraId="4A353E1A"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216.2 </w:t>
            </w:r>
          </w:p>
        </w:tc>
        <w:tc>
          <w:tcPr>
            <w:tcW w:w="993" w:type="dxa"/>
            <w:shd w:val="clear" w:color="auto" w:fill="auto"/>
          </w:tcPr>
          <w:p w14:paraId="779C5192"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105.5 </w:t>
            </w:r>
          </w:p>
        </w:tc>
        <w:tc>
          <w:tcPr>
            <w:tcW w:w="992" w:type="dxa"/>
            <w:shd w:val="clear" w:color="auto" w:fill="auto"/>
          </w:tcPr>
          <w:p w14:paraId="42F23DFB"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110.7 </w:t>
            </w:r>
          </w:p>
        </w:tc>
      </w:tr>
      <w:tr w:rsidR="0044035E" w:rsidRPr="00CA4A72" w14:paraId="6176D161" w14:textId="77777777" w:rsidTr="006A1A41">
        <w:trPr>
          <w:trHeight w:val="170"/>
        </w:trPr>
        <w:tc>
          <w:tcPr>
            <w:tcW w:w="3392" w:type="dxa"/>
            <w:tcBorders>
              <w:top w:val="nil"/>
              <w:bottom w:val="nil"/>
              <w:right w:val="single" w:sz="4" w:space="0" w:color="auto"/>
            </w:tcBorders>
            <w:shd w:val="clear" w:color="auto" w:fill="auto"/>
            <w:hideMark/>
          </w:tcPr>
          <w:p w14:paraId="666FBF05" w14:textId="77777777" w:rsidR="0044035E" w:rsidRPr="009233D9" w:rsidRDefault="0044035E" w:rsidP="006A1A41">
            <w:pPr>
              <w:rPr>
                <w:rFonts w:asciiTheme="minorHAnsi" w:eastAsia="Times New Roman" w:hAnsiTheme="minorHAnsi" w:cstheme="minorHAnsi"/>
                <w:sz w:val="12"/>
                <w:szCs w:val="12"/>
                <w:highlight w:val="yellow"/>
                <w:lang w:eastAsia="fr-FR"/>
              </w:rPr>
            </w:pPr>
            <w:r w:rsidRPr="009233D9">
              <w:rPr>
                <w:rFonts w:asciiTheme="minorHAnsi" w:hAnsiTheme="minorHAnsi" w:cstheme="minorHAnsi"/>
                <w:sz w:val="12"/>
                <w:szCs w:val="12"/>
              </w:rPr>
              <w:t>Adjustments for other non-cash items</w:t>
            </w:r>
          </w:p>
        </w:tc>
        <w:tc>
          <w:tcPr>
            <w:tcW w:w="998" w:type="dxa"/>
            <w:tcBorders>
              <w:top w:val="nil"/>
              <w:left w:val="single" w:sz="4" w:space="0" w:color="auto"/>
              <w:bottom w:val="nil"/>
            </w:tcBorders>
            <w:shd w:val="clear" w:color="auto" w:fill="auto"/>
          </w:tcPr>
          <w:p w14:paraId="68000A97"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20.1 </w:t>
            </w:r>
          </w:p>
        </w:tc>
        <w:tc>
          <w:tcPr>
            <w:tcW w:w="992" w:type="dxa"/>
            <w:tcBorders>
              <w:top w:val="nil"/>
              <w:bottom w:val="nil"/>
            </w:tcBorders>
            <w:shd w:val="clear" w:color="auto" w:fill="auto"/>
          </w:tcPr>
          <w:p w14:paraId="64A332A6"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18.8 </w:t>
            </w:r>
          </w:p>
        </w:tc>
        <w:tc>
          <w:tcPr>
            <w:tcW w:w="992" w:type="dxa"/>
            <w:tcBorders>
              <w:top w:val="nil"/>
              <w:bottom w:val="nil"/>
              <w:right w:val="single" w:sz="4" w:space="0" w:color="auto"/>
            </w:tcBorders>
            <w:shd w:val="clear" w:color="auto" w:fill="auto"/>
          </w:tcPr>
          <w:p w14:paraId="63DAE471"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1.3 </w:t>
            </w:r>
          </w:p>
        </w:tc>
        <w:tc>
          <w:tcPr>
            <w:tcW w:w="992" w:type="dxa"/>
            <w:tcBorders>
              <w:left w:val="single" w:sz="4" w:space="0" w:color="auto"/>
            </w:tcBorders>
            <w:shd w:val="clear" w:color="auto" w:fill="auto"/>
          </w:tcPr>
          <w:p w14:paraId="5F7AB098"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69.8 </w:t>
            </w:r>
          </w:p>
        </w:tc>
        <w:tc>
          <w:tcPr>
            <w:tcW w:w="993" w:type="dxa"/>
            <w:shd w:val="clear" w:color="auto" w:fill="auto"/>
          </w:tcPr>
          <w:p w14:paraId="00D5A67E"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47.3 </w:t>
            </w:r>
          </w:p>
        </w:tc>
        <w:tc>
          <w:tcPr>
            <w:tcW w:w="992" w:type="dxa"/>
            <w:shd w:val="clear" w:color="auto" w:fill="auto"/>
          </w:tcPr>
          <w:p w14:paraId="1F60D923"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22.6 </w:t>
            </w:r>
          </w:p>
        </w:tc>
      </w:tr>
      <w:tr w:rsidR="0044035E" w:rsidRPr="00CA4A72" w14:paraId="168E465E" w14:textId="77777777" w:rsidTr="006A1A41">
        <w:trPr>
          <w:trHeight w:val="170"/>
        </w:trPr>
        <w:tc>
          <w:tcPr>
            <w:tcW w:w="3392" w:type="dxa"/>
            <w:tcBorders>
              <w:top w:val="nil"/>
              <w:bottom w:val="nil"/>
              <w:right w:val="single" w:sz="4" w:space="0" w:color="auto"/>
            </w:tcBorders>
            <w:shd w:val="clear" w:color="auto" w:fill="auto"/>
            <w:hideMark/>
          </w:tcPr>
          <w:p w14:paraId="264B6E63" w14:textId="77777777" w:rsidR="0044035E" w:rsidRPr="009233D9" w:rsidRDefault="0044035E" w:rsidP="006A1A41">
            <w:pPr>
              <w:rPr>
                <w:rFonts w:asciiTheme="minorHAnsi" w:eastAsia="Times New Roman" w:hAnsiTheme="minorHAnsi" w:cstheme="minorHAnsi"/>
                <w:sz w:val="12"/>
                <w:szCs w:val="12"/>
                <w:highlight w:val="yellow"/>
                <w:lang w:eastAsia="fr-FR"/>
              </w:rPr>
            </w:pPr>
            <w:r w:rsidRPr="009233D9">
              <w:rPr>
                <w:rFonts w:asciiTheme="minorHAnsi" w:hAnsiTheme="minorHAnsi" w:cstheme="minorHAnsi"/>
                <w:sz w:val="12"/>
                <w:szCs w:val="12"/>
              </w:rPr>
              <w:t>Changes in working capital</w:t>
            </w:r>
          </w:p>
        </w:tc>
        <w:tc>
          <w:tcPr>
            <w:tcW w:w="998" w:type="dxa"/>
            <w:tcBorders>
              <w:top w:val="nil"/>
              <w:left w:val="single" w:sz="4" w:space="0" w:color="auto"/>
              <w:bottom w:val="single" w:sz="4" w:space="0" w:color="auto"/>
            </w:tcBorders>
            <w:shd w:val="clear" w:color="auto" w:fill="auto"/>
          </w:tcPr>
          <w:p w14:paraId="36D69C97"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150.5 </w:t>
            </w:r>
          </w:p>
        </w:tc>
        <w:tc>
          <w:tcPr>
            <w:tcW w:w="992" w:type="dxa"/>
            <w:tcBorders>
              <w:top w:val="nil"/>
              <w:bottom w:val="single" w:sz="4" w:space="0" w:color="auto"/>
            </w:tcBorders>
            <w:shd w:val="clear" w:color="auto" w:fill="auto"/>
          </w:tcPr>
          <w:p w14:paraId="6242116A"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168.2 </w:t>
            </w:r>
          </w:p>
        </w:tc>
        <w:tc>
          <w:tcPr>
            <w:tcW w:w="992" w:type="dxa"/>
            <w:tcBorders>
              <w:top w:val="nil"/>
              <w:bottom w:val="single" w:sz="4" w:space="0" w:color="auto"/>
              <w:right w:val="single" w:sz="4" w:space="0" w:color="auto"/>
            </w:tcBorders>
            <w:shd w:val="clear" w:color="auto" w:fill="auto"/>
          </w:tcPr>
          <w:p w14:paraId="1BA2F111"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(17.7)</w:t>
            </w:r>
          </w:p>
        </w:tc>
        <w:tc>
          <w:tcPr>
            <w:tcW w:w="992" w:type="dxa"/>
            <w:tcBorders>
              <w:left w:val="single" w:sz="4" w:space="0" w:color="auto"/>
              <w:bottom w:val="single" w:sz="4" w:space="0" w:color="auto"/>
            </w:tcBorders>
            <w:shd w:val="clear" w:color="auto" w:fill="auto"/>
          </w:tcPr>
          <w:p w14:paraId="5506DFAF"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287.9 </w:t>
            </w:r>
          </w:p>
        </w:tc>
        <w:tc>
          <w:tcPr>
            <w:tcW w:w="993" w:type="dxa"/>
            <w:tcBorders>
              <w:bottom w:val="single" w:sz="4" w:space="0" w:color="auto"/>
            </w:tcBorders>
            <w:shd w:val="clear" w:color="auto" w:fill="auto"/>
          </w:tcPr>
          <w:p w14:paraId="03C0137F"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386.3 </w:t>
            </w:r>
          </w:p>
        </w:tc>
        <w:tc>
          <w:tcPr>
            <w:tcW w:w="992" w:type="dxa"/>
            <w:tcBorders>
              <w:bottom w:val="single" w:sz="4" w:space="0" w:color="auto"/>
            </w:tcBorders>
            <w:shd w:val="clear" w:color="auto" w:fill="auto"/>
          </w:tcPr>
          <w:p w14:paraId="7AB89738"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(98.4)</w:t>
            </w:r>
          </w:p>
        </w:tc>
      </w:tr>
      <w:tr w:rsidR="0044035E" w:rsidRPr="00CA4A72" w14:paraId="6D02D49F" w14:textId="77777777" w:rsidTr="006A1A41">
        <w:trPr>
          <w:trHeight w:val="170"/>
        </w:trPr>
        <w:tc>
          <w:tcPr>
            <w:tcW w:w="3392" w:type="dxa"/>
            <w:tcBorders>
              <w:top w:val="nil"/>
              <w:bottom w:val="nil"/>
              <w:right w:val="single" w:sz="4" w:space="0" w:color="auto"/>
            </w:tcBorders>
            <w:shd w:val="clear" w:color="auto" w:fill="auto"/>
            <w:hideMark/>
          </w:tcPr>
          <w:p w14:paraId="6B2E43E9" w14:textId="77777777" w:rsidR="0044035E" w:rsidRPr="00D27EF3" w:rsidRDefault="0044035E" w:rsidP="006A1A41">
            <w:pPr>
              <w:rPr>
                <w:rFonts w:asciiTheme="minorHAnsi" w:eastAsia="Times New Roman" w:hAnsiTheme="minorHAnsi" w:cstheme="minorHAnsi"/>
                <w:b/>
                <w:bCs/>
                <w:sz w:val="12"/>
                <w:szCs w:val="12"/>
                <w:lang w:eastAsia="fr-FR"/>
              </w:rPr>
            </w:pPr>
            <w:r w:rsidRPr="00D27EF3">
              <w:rPr>
                <w:rFonts w:asciiTheme="minorHAnsi" w:hAnsiTheme="minorHAnsi" w:cstheme="minorHAnsi"/>
                <w:b/>
                <w:sz w:val="12"/>
                <w:szCs w:val="12"/>
              </w:rPr>
              <w:t>Net Cash Provided by (Used in) Operating Activities</w:t>
            </w:r>
          </w:p>
        </w:tc>
        <w:tc>
          <w:tcPr>
            <w:tcW w:w="998" w:type="dxa"/>
            <w:tcBorders>
              <w:top w:val="single" w:sz="4" w:space="0" w:color="auto"/>
              <w:left w:val="single" w:sz="4" w:space="0" w:color="auto"/>
              <w:bottom w:val="nil"/>
            </w:tcBorders>
            <w:shd w:val="clear" w:color="auto" w:fill="auto"/>
          </w:tcPr>
          <w:p w14:paraId="68F03196"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r w:rsidRPr="00FE3AF9">
              <w:rPr>
                <w:rFonts w:asciiTheme="minorHAnsi" w:hAnsiTheme="minorHAnsi" w:cstheme="minorHAnsi"/>
                <w:b/>
                <w:bCs/>
                <w:color w:val="000000"/>
                <w:sz w:val="12"/>
                <w:szCs w:val="12"/>
              </w:rPr>
              <w:t xml:space="preserve">€ 397.0 </w:t>
            </w:r>
          </w:p>
        </w:tc>
        <w:tc>
          <w:tcPr>
            <w:tcW w:w="992" w:type="dxa"/>
            <w:tcBorders>
              <w:top w:val="single" w:sz="4" w:space="0" w:color="auto"/>
              <w:bottom w:val="nil"/>
            </w:tcBorders>
            <w:shd w:val="clear" w:color="auto" w:fill="auto"/>
          </w:tcPr>
          <w:p w14:paraId="61AB2FB7"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r w:rsidRPr="00FE3AF9">
              <w:rPr>
                <w:rFonts w:asciiTheme="minorHAnsi" w:hAnsiTheme="minorHAnsi" w:cstheme="minorHAnsi"/>
                <w:b/>
                <w:bCs/>
                <w:color w:val="000000"/>
                <w:sz w:val="12"/>
                <w:szCs w:val="12"/>
              </w:rPr>
              <w:t xml:space="preserve">€ 405.1 </w:t>
            </w:r>
          </w:p>
        </w:tc>
        <w:tc>
          <w:tcPr>
            <w:tcW w:w="992" w:type="dxa"/>
            <w:tcBorders>
              <w:top w:val="single" w:sz="4" w:space="0" w:color="auto"/>
              <w:bottom w:val="nil"/>
              <w:right w:val="single" w:sz="4" w:space="0" w:color="auto"/>
            </w:tcBorders>
            <w:shd w:val="clear" w:color="auto" w:fill="auto"/>
          </w:tcPr>
          <w:p w14:paraId="7F5272B7"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r w:rsidRPr="00FE3AF9">
              <w:rPr>
                <w:rFonts w:asciiTheme="minorHAnsi" w:hAnsiTheme="minorHAnsi" w:cstheme="minorHAnsi"/>
                <w:b/>
                <w:bCs/>
                <w:color w:val="000000"/>
                <w:sz w:val="12"/>
                <w:szCs w:val="12"/>
              </w:rPr>
              <w:t>€ ( 8.1)</w:t>
            </w:r>
          </w:p>
        </w:tc>
        <w:tc>
          <w:tcPr>
            <w:tcW w:w="992" w:type="dxa"/>
            <w:tcBorders>
              <w:top w:val="single" w:sz="4" w:space="0" w:color="auto"/>
              <w:left w:val="single" w:sz="4" w:space="0" w:color="auto"/>
              <w:bottom w:val="nil"/>
            </w:tcBorders>
            <w:shd w:val="clear" w:color="auto" w:fill="auto"/>
          </w:tcPr>
          <w:p w14:paraId="1907E49F"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r w:rsidRPr="00FE3AF9">
              <w:rPr>
                <w:rFonts w:asciiTheme="minorHAnsi" w:hAnsiTheme="minorHAnsi" w:cstheme="minorHAnsi"/>
                <w:b/>
                <w:bCs/>
                <w:color w:val="000000"/>
                <w:sz w:val="12"/>
                <w:szCs w:val="12"/>
              </w:rPr>
              <w:t xml:space="preserve">€ 855.0 </w:t>
            </w:r>
          </w:p>
        </w:tc>
        <w:tc>
          <w:tcPr>
            <w:tcW w:w="993" w:type="dxa"/>
            <w:tcBorders>
              <w:top w:val="single" w:sz="4" w:space="0" w:color="auto"/>
              <w:bottom w:val="nil"/>
            </w:tcBorders>
            <w:shd w:val="clear" w:color="auto" w:fill="auto"/>
          </w:tcPr>
          <w:p w14:paraId="5EDA7144"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r w:rsidRPr="00FE3AF9">
              <w:rPr>
                <w:rFonts w:asciiTheme="minorHAnsi" w:hAnsiTheme="minorHAnsi" w:cstheme="minorHAnsi"/>
                <w:b/>
                <w:bCs/>
                <w:color w:val="000000"/>
                <w:sz w:val="12"/>
                <w:szCs w:val="12"/>
              </w:rPr>
              <w:t xml:space="preserve">€ 893.6 </w:t>
            </w:r>
          </w:p>
        </w:tc>
        <w:tc>
          <w:tcPr>
            <w:tcW w:w="992" w:type="dxa"/>
            <w:tcBorders>
              <w:top w:val="single" w:sz="4" w:space="0" w:color="auto"/>
              <w:bottom w:val="nil"/>
            </w:tcBorders>
            <w:shd w:val="clear" w:color="auto" w:fill="auto"/>
          </w:tcPr>
          <w:p w14:paraId="7D381ECF"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r w:rsidRPr="00FE3AF9">
              <w:rPr>
                <w:rFonts w:asciiTheme="minorHAnsi" w:hAnsiTheme="minorHAnsi" w:cstheme="minorHAnsi"/>
                <w:b/>
                <w:bCs/>
                <w:color w:val="000000"/>
                <w:sz w:val="12"/>
                <w:szCs w:val="12"/>
              </w:rPr>
              <w:t>€ ( 38.6)</w:t>
            </w:r>
          </w:p>
        </w:tc>
      </w:tr>
      <w:tr w:rsidR="0044035E" w:rsidRPr="00CA4A72" w14:paraId="1B2242BE" w14:textId="77777777" w:rsidTr="006A1A41">
        <w:trPr>
          <w:trHeight w:val="170"/>
        </w:trPr>
        <w:tc>
          <w:tcPr>
            <w:tcW w:w="3392" w:type="dxa"/>
            <w:tcBorders>
              <w:top w:val="nil"/>
              <w:bottom w:val="nil"/>
              <w:right w:val="single" w:sz="4" w:space="0" w:color="auto"/>
            </w:tcBorders>
            <w:shd w:val="clear" w:color="auto" w:fill="auto"/>
            <w:vAlign w:val="center"/>
            <w:hideMark/>
          </w:tcPr>
          <w:p w14:paraId="20A3C77B" w14:textId="77777777" w:rsidR="0044035E" w:rsidRPr="00CA4A72" w:rsidRDefault="0044035E" w:rsidP="006A1A41">
            <w:pPr>
              <w:rPr>
                <w:rFonts w:asciiTheme="minorHAnsi" w:eastAsia="Times New Roman" w:hAnsiTheme="minorHAnsi" w:cstheme="minorHAnsi"/>
                <w:sz w:val="12"/>
                <w:szCs w:val="14"/>
                <w:lang w:eastAsia="fr-FR"/>
              </w:rPr>
            </w:pPr>
            <w:r w:rsidRPr="00CA4A72">
              <w:rPr>
                <w:rFonts w:asciiTheme="minorHAnsi" w:hAnsiTheme="minorHAnsi" w:cstheme="minorHAnsi"/>
                <w:sz w:val="12"/>
                <w:szCs w:val="14"/>
              </w:rPr>
              <w:t> </w:t>
            </w:r>
          </w:p>
        </w:tc>
        <w:tc>
          <w:tcPr>
            <w:tcW w:w="998" w:type="dxa"/>
            <w:tcBorders>
              <w:top w:val="nil"/>
              <w:left w:val="single" w:sz="4" w:space="0" w:color="auto"/>
              <w:bottom w:val="nil"/>
            </w:tcBorders>
          </w:tcPr>
          <w:p w14:paraId="46288CEE"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p>
        </w:tc>
        <w:tc>
          <w:tcPr>
            <w:tcW w:w="992" w:type="dxa"/>
            <w:tcBorders>
              <w:top w:val="nil"/>
              <w:bottom w:val="nil"/>
            </w:tcBorders>
          </w:tcPr>
          <w:p w14:paraId="1CB358BC"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p>
        </w:tc>
        <w:tc>
          <w:tcPr>
            <w:tcW w:w="992" w:type="dxa"/>
            <w:tcBorders>
              <w:top w:val="nil"/>
              <w:bottom w:val="nil"/>
              <w:right w:val="single" w:sz="4" w:space="0" w:color="auto"/>
            </w:tcBorders>
          </w:tcPr>
          <w:p w14:paraId="275FE8B5"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p>
        </w:tc>
        <w:tc>
          <w:tcPr>
            <w:tcW w:w="992" w:type="dxa"/>
            <w:tcBorders>
              <w:top w:val="nil"/>
              <w:left w:val="single" w:sz="4" w:space="0" w:color="auto"/>
              <w:bottom w:val="nil"/>
            </w:tcBorders>
            <w:shd w:val="clear" w:color="auto" w:fill="auto"/>
          </w:tcPr>
          <w:p w14:paraId="256F3B60"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p>
        </w:tc>
        <w:tc>
          <w:tcPr>
            <w:tcW w:w="993" w:type="dxa"/>
            <w:tcBorders>
              <w:top w:val="nil"/>
              <w:bottom w:val="nil"/>
            </w:tcBorders>
            <w:shd w:val="clear" w:color="auto" w:fill="auto"/>
          </w:tcPr>
          <w:p w14:paraId="3745A0A0"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p>
        </w:tc>
        <w:tc>
          <w:tcPr>
            <w:tcW w:w="992" w:type="dxa"/>
            <w:tcBorders>
              <w:top w:val="nil"/>
              <w:bottom w:val="nil"/>
            </w:tcBorders>
            <w:shd w:val="clear" w:color="auto" w:fill="auto"/>
          </w:tcPr>
          <w:p w14:paraId="052FF04C"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p>
        </w:tc>
      </w:tr>
      <w:tr w:rsidR="0044035E" w:rsidRPr="00CA4A72" w14:paraId="536FA7B9" w14:textId="77777777" w:rsidTr="006A1A41">
        <w:trPr>
          <w:trHeight w:val="170"/>
        </w:trPr>
        <w:tc>
          <w:tcPr>
            <w:tcW w:w="3392" w:type="dxa"/>
            <w:tcBorders>
              <w:top w:val="nil"/>
              <w:bottom w:val="nil"/>
              <w:right w:val="single" w:sz="4" w:space="0" w:color="auto"/>
            </w:tcBorders>
            <w:shd w:val="clear" w:color="auto" w:fill="auto"/>
            <w:hideMark/>
          </w:tcPr>
          <w:p w14:paraId="0C67302B" w14:textId="77777777" w:rsidR="0044035E" w:rsidRPr="00D27EF3" w:rsidRDefault="0044035E" w:rsidP="006A1A41">
            <w:pPr>
              <w:rPr>
                <w:rFonts w:asciiTheme="minorHAnsi" w:eastAsia="Times New Roman" w:hAnsiTheme="minorHAnsi" w:cstheme="minorHAnsi"/>
                <w:sz w:val="12"/>
                <w:szCs w:val="12"/>
                <w:highlight w:val="yellow"/>
                <w:lang w:eastAsia="fr-FR"/>
              </w:rPr>
            </w:pPr>
            <w:r w:rsidRPr="00D27EF3">
              <w:rPr>
                <w:sz w:val="12"/>
                <w:szCs w:val="12"/>
              </w:rPr>
              <w:t>Additions to property, equipment and intangibles</w:t>
            </w:r>
          </w:p>
        </w:tc>
        <w:tc>
          <w:tcPr>
            <w:tcW w:w="998" w:type="dxa"/>
            <w:tcBorders>
              <w:top w:val="nil"/>
              <w:left w:val="single" w:sz="4" w:space="0" w:color="auto"/>
              <w:bottom w:val="nil"/>
            </w:tcBorders>
            <w:shd w:val="clear" w:color="auto" w:fill="auto"/>
          </w:tcPr>
          <w:p w14:paraId="6DAF9D7D"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(27.1)</w:t>
            </w:r>
          </w:p>
        </w:tc>
        <w:tc>
          <w:tcPr>
            <w:tcW w:w="992" w:type="dxa"/>
            <w:tcBorders>
              <w:top w:val="nil"/>
              <w:bottom w:val="nil"/>
            </w:tcBorders>
            <w:shd w:val="clear" w:color="auto" w:fill="auto"/>
          </w:tcPr>
          <w:p w14:paraId="0539A346"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(23.2)</w:t>
            </w:r>
          </w:p>
        </w:tc>
        <w:tc>
          <w:tcPr>
            <w:tcW w:w="992" w:type="dxa"/>
            <w:tcBorders>
              <w:top w:val="nil"/>
              <w:bottom w:val="nil"/>
              <w:right w:val="single" w:sz="4" w:space="0" w:color="auto"/>
            </w:tcBorders>
            <w:shd w:val="clear" w:color="auto" w:fill="auto"/>
          </w:tcPr>
          <w:p w14:paraId="0F396669"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Pr>
                <w:rFonts w:asciiTheme="minorHAnsi" w:hAnsiTheme="minorHAnsi" w:cstheme="minorHAnsi"/>
                <w:color w:val="000000"/>
                <w:sz w:val="12"/>
                <w:szCs w:val="12"/>
              </w:rPr>
              <w:t xml:space="preserve"> </w:t>
            </w:r>
            <w:r w:rsidRPr="00FE3AF9">
              <w:rPr>
                <w:rFonts w:asciiTheme="minorHAnsi" w:hAnsiTheme="minorHAnsi" w:cstheme="minorHAnsi"/>
                <w:color w:val="000000"/>
                <w:sz w:val="12"/>
                <w:szCs w:val="12"/>
              </w:rPr>
              <w:t>(4.0)</w:t>
            </w:r>
          </w:p>
        </w:tc>
        <w:tc>
          <w:tcPr>
            <w:tcW w:w="992" w:type="dxa"/>
            <w:tcBorders>
              <w:top w:val="nil"/>
              <w:left w:val="single" w:sz="4" w:space="0" w:color="auto"/>
              <w:bottom w:val="nil"/>
            </w:tcBorders>
            <w:shd w:val="clear" w:color="auto" w:fill="auto"/>
          </w:tcPr>
          <w:p w14:paraId="281A838B"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(87.4)</w:t>
            </w:r>
          </w:p>
        </w:tc>
        <w:tc>
          <w:tcPr>
            <w:tcW w:w="993" w:type="dxa"/>
            <w:tcBorders>
              <w:top w:val="nil"/>
              <w:bottom w:val="nil"/>
            </w:tcBorders>
            <w:shd w:val="clear" w:color="auto" w:fill="auto"/>
          </w:tcPr>
          <w:p w14:paraId="1C352438"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(48.2)</w:t>
            </w:r>
          </w:p>
        </w:tc>
        <w:tc>
          <w:tcPr>
            <w:tcW w:w="992" w:type="dxa"/>
            <w:tcBorders>
              <w:top w:val="nil"/>
              <w:bottom w:val="nil"/>
            </w:tcBorders>
            <w:shd w:val="clear" w:color="auto" w:fill="auto"/>
          </w:tcPr>
          <w:p w14:paraId="3DBB3F14"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(39.2)</w:t>
            </w:r>
          </w:p>
        </w:tc>
      </w:tr>
      <w:tr w:rsidR="0044035E" w:rsidRPr="00CA4A72" w14:paraId="3E1BF34D" w14:textId="77777777" w:rsidTr="006A1A41">
        <w:trPr>
          <w:trHeight w:val="170"/>
        </w:trPr>
        <w:tc>
          <w:tcPr>
            <w:tcW w:w="3392" w:type="dxa"/>
            <w:tcBorders>
              <w:top w:val="nil"/>
              <w:bottom w:val="nil"/>
              <w:right w:val="single" w:sz="4" w:space="0" w:color="auto"/>
            </w:tcBorders>
            <w:shd w:val="clear" w:color="auto" w:fill="auto"/>
            <w:hideMark/>
          </w:tcPr>
          <w:p w14:paraId="7D824CA7" w14:textId="77777777" w:rsidR="0044035E" w:rsidRPr="00D27EF3" w:rsidRDefault="0044035E" w:rsidP="006A1A41">
            <w:pPr>
              <w:rPr>
                <w:rFonts w:asciiTheme="minorHAnsi" w:eastAsia="Times New Roman" w:hAnsiTheme="minorHAnsi" w:cstheme="minorHAnsi"/>
                <w:sz w:val="12"/>
                <w:szCs w:val="12"/>
                <w:highlight w:val="yellow"/>
                <w:lang w:eastAsia="fr-FR"/>
              </w:rPr>
            </w:pPr>
            <w:r w:rsidRPr="00D27EF3">
              <w:rPr>
                <w:sz w:val="12"/>
                <w:szCs w:val="12"/>
              </w:rPr>
              <w:t>Payment for acquisition of businesses, net of cash acquired</w:t>
            </w:r>
          </w:p>
        </w:tc>
        <w:tc>
          <w:tcPr>
            <w:tcW w:w="998" w:type="dxa"/>
            <w:tcBorders>
              <w:top w:val="nil"/>
              <w:left w:val="single" w:sz="4" w:space="0" w:color="auto"/>
              <w:bottom w:val="nil"/>
              <w:right w:val="nil"/>
            </w:tcBorders>
            <w:shd w:val="clear" w:color="auto" w:fill="auto"/>
          </w:tcPr>
          <w:p w14:paraId="0AC3AAD1"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(19.5)</w:t>
            </w:r>
          </w:p>
        </w:tc>
        <w:tc>
          <w:tcPr>
            <w:tcW w:w="992" w:type="dxa"/>
            <w:tcBorders>
              <w:top w:val="nil"/>
              <w:left w:val="nil"/>
              <w:bottom w:val="nil"/>
              <w:right w:val="nil"/>
            </w:tcBorders>
            <w:shd w:val="clear" w:color="auto" w:fill="auto"/>
          </w:tcPr>
          <w:p w14:paraId="0F7CC90E"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(2.2)</w:t>
            </w:r>
          </w:p>
        </w:tc>
        <w:tc>
          <w:tcPr>
            <w:tcW w:w="992" w:type="dxa"/>
            <w:tcBorders>
              <w:top w:val="nil"/>
              <w:left w:val="nil"/>
              <w:bottom w:val="nil"/>
              <w:right w:val="single" w:sz="4" w:space="0" w:color="auto"/>
            </w:tcBorders>
            <w:shd w:val="clear" w:color="auto" w:fill="auto"/>
          </w:tcPr>
          <w:p w14:paraId="4139C93F"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(17.3)</w:t>
            </w:r>
          </w:p>
        </w:tc>
        <w:tc>
          <w:tcPr>
            <w:tcW w:w="992" w:type="dxa"/>
            <w:tcBorders>
              <w:top w:val="nil"/>
              <w:left w:val="single" w:sz="4" w:space="0" w:color="auto"/>
              <w:bottom w:val="nil"/>
              <w:right w:val="nil"/>
            </w:tcBorders>
            <w:shd w:val="clear" w:color="auto" w:fill="auto"/>
          </w:tcPr>
          <w:p w14:paraId="60EA4156"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(19.5)</w:t>
            </w:r>
          </w:p>
        </w:tc>
        <w:tc>
          <w:tcPr>
            <w:tcW w:w="993" w:type="dxa"/>
            <w:tcBorders>
              <w:top w:val="nil"/>
              <w:left w:val="nil"/>
              <w:bottom w:val="nil"/>
              <w:right w:val="nil"/>
            </w:tcBorders>
            <w:shd w:val="clear" w:color="auto" w:fill="auto"/>
          </w:tcPr>
          <w:p w14:paraId="15D97D13"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(402.8)</w:t>
            </w:r>
          </w:p>
        </w:tc>
        <w:tc>
          <w:tcPr>
            <w:tcW w:w="992" w:type="dxa"/>
            <w:tcBorders>
              <w:top w:val="nil"/>
              <w:left w:val="nil"/>
              <w:bottom w:val="nil"/>
              <w:right w:val="single" w:sz="4" w:space="0" w:color="auto"/>
            </w:tcBorders>
            <w:shd w:val="clear" w:color="auto" w:fill="auto"/>
          </w:tcPr>
          <w:p w14:paraId="53A00CE8"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383.3 </w:t>
            </w:r>
          </w:p>
        </w:tc>
      </w:tr>
      <w:tr w:rsidR="0044035E" w:rsidRPr="00CA4A72" w14:paraId="13B4F436" w14:textId="77777777" w:rsidTr="006A1A41">
        <w:trPr>
          <w:trHeight w:val="170"/>
        </w:trPr>
        <w:tc>
          <w:tcPr>
            <w:tcW w:w="3392" w:type="dxa"/>
            <w:tcBorders>
              <w:top w:val="nil"/>
              <w:bottom w:val="nil"/>
              <w:right w:val="single" w:sz="4" w:space="0" w:color="auto"/>
            </w:tcBorders>
            <w:shd w:val="clear" w:color="auto" w:fill="auto"/>
          </w:tcPr>
          <w:p w14:paraId="5151B4B4" w14:textId="77777777" w:rsidR="0044035E" w:rsidRPr="00D27EF3" w:rsidRDefault="0044035E" w:rsidP="006A1A41">
            <w:pPr>
              <w:rPr>
                <w:rFonts w:asciiTheme="minorHAnsi" w:hAnsiTheme="minorHAnsi" w:cstheme="minorHAnsi"/>
                <w:sz w:val="12"/>
                <w:szCs w:val="12"/>
                <w:highlight w:val="yellow"/>
              </w:rPr>
            </w:pPr>
            <w:r w:rsidRPr="00D27EF3">
              <w:rPr>
                <w:sz w:val="12"/>
                <w:szCs w:val="12"/>
              </w:rPr>
              <w:t>Other</w:t>
            </w:r>
          </w:p>
        </w:tc>
        <w:tc>
          <w:tcPr>
            <w:tcW w:w="998" w:type="dxa"/>
            <w:tcBorders>
              <w:top w:val="nil"/>
              <w:left w:val="single" w:sz="4" w:space="0" w:color="auto"/>
              <w:bottom w:val="single" w:sz="4" w:space="0" w:color="auto"/>
            </w:tcBorders>
            <w:shd w:val="clear" w:color="auto" w:fill="auto"/>
          </w:tcPr>
          <w:p w14:paraId="468E2E2A"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0.6 </w:t>
            </w:r>
          </w:p>
        </w:tc>
        <w:tc>
          <w:tcPr>
            <w:tcW w:w="992" w:type="dxa"/>
            <w:tcBorders>
              <w:top w:val="nil"/>
              <w:bottom w:val="single" w:sz="4" w:space="0" w:color="auto"/>
            </w:tcBorders>
            <w:shd w:val="clear" w:color="auto" w:fill="auto"/>
          </w:tcPr>
          <w:p w14:paraId="578DD3C1"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(14.0)</w:t>
            </w:r>
          </w:p>
        </w:tc>
        <w:tc>
          <w:tcPr>
            <w:tcW w:w="992" w:type="dxa"/>
            <w:tcBorders>
              <w:top w:val="nil"/>
              <w:bottom w:val="single" w:sz="4" w:space="0" w:color="auto"/>
              <w:right w:val="single" w:sz="4" w:space="0" w:color="auto"/>
            </w:tcBorders>
            <w:shd w:val="clear" w:color="auto" w:fill="auto"/>
          </w:tcPr>
          <w:p w14:paraId="77016C6D"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14.6 </w:t>
            </w:r>
          </w:p>
        </w:tc>
        <w:tc>
          <w:tcPr>
            <w:tcW w:w="992" w:type="dxa"/>
            <w:tcBorders>
              <w:top w:val="nil"/>
              <w:left w:val="single" w:sz="4" w:space="0" w:color="auto"/>
              <w:bottom w:val="single" w:sz="4" w:space="0" w:color="auto"/>
            </w:tcBorders>
            <w:shd w:val="clear" w:color="auto" w:fill="auto"/>
          </w:tcPr>
          <w:p w14:paraId="0CA97F39"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2.4 </w:t>
            </w:r>
          </w:p>
        </w:tc>
        <w:tc>
          <w:tcPr>
            <w:tcW w:w="993" w:type="dxa"/>
            <w:tcBorders>
              <w:top w:val="nil"/>
              <w:bottom w:val="single" w:sz="4" w:space="0" w:color="auto"/>
            </w:tcBorders>
            <w:shd w:val="clear" w:color="auto" w:fill="auto"/>
          </w:tcPr>
          <w:p w14:paraId="5D82574A"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(17.1)</w:t>
            </w:r>
          </w:p>
        </w:tc>
        <w:tc>
          <w:tcPr>
            <w:tcW w:w="992" w:type="dxa"/>
            <w:tcBorders>
              <w:top w:val="nil"/>
              <w:bottom w:val="single" w:sz="4" w:space="0" w:color="auto"/>
            </w:tcBorders>
            <w:shd w:val="clear" w:color="auto" w:fill="auto"/>
          </w:tcPr>
          <w:p w14:paraId="6C5BAAD1"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19.5 </w:t>
            </w:r>
          </w:p>
        </w:tc>
      </w:tr>
      <w:tr w:rsidR="0044035E" w:rsidRPr="00CA4A72" w14:paraId="5ADA8C4D" w14:textId="77777777" w:rsidTr="006A1A41">
        <w:trPr>
          <w:trHeight w:val="170"/>
        </w:trPr>
        <w:tc>
          <w:tcPr>
            <w:tcW w:w="3392" w:type="dxa"/>
            <w:tcBorders>
              <w:top w:val="nil"/>
              <w:bottom w:val="nil"/>
              <w:right w:val="single" w:sz="4" w:space="0" w:color="auto"/>
            </w:tcBorders>
            <w:shd w:val="clear" w:color="auto" w:fill="auto"/>
            <w:hideMark/>
          </w:tcPr>
          <w:p w14:paraId="20097ED5" w14:textId="77777777" w:rsidR="0044035E" w:rsidRPr="00D27EF3" w:rsidRDefault="0044035E" w:rsidP="006A1A41">
            <w:pPr>
              <w:rPr>
                <w:rFonts w:asciiTheme="minorHAnsi" w:eastAsia="Times New Roman" w:hAnsiTheme="minorHAnsi" w:cstheme="minorHAnsi"/>
                <w:b/>
                <w:bCs/>
                <w:sz w:val="12"/>
                <w:szCs w:val="12"/>
                <w:lang w:eastAsia="fr-FR"/>
              </w:rPr>
            </w:pPr>
            <w:r w:rsidRPr="00D27EF3">
              <w:rPr>
                <w:b/>
                <w:sz w:val="12"/>
                <w:szCs w:val="12"/>
              </w:rPr>
              <w:t xml:space="preserve">Net Cash Provided by (Used in) Investing Activities </w:t>
            </w:r>
          </w:p>
        </w:tc>
        <w:tc>
          <w:tcPr>
            <w:tcW w:w="998" w:type="dxa"/>
            <w:tcBorders>
              <w:top w:val="single" w:sz="4" w:space="0" w:color="auto"/>
              <w:left w:val="single" w:sz="4" w:space="0" w:color="auto"/>
              <w:bottom w:val="nil"/>
            </w:tcBorders>
            <w:shd w:val="clear" w:color="auto" w:fill="auto"/>
          </w:tcPr>
          <w:p w14:paraId="2753623C"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r w:rsidRPr="00FE3AF9">
              <w:rPr>
                <w:rFonts w:asciiTheme="minorHAnsi" w:hAnsiTheme="minorHAnsi" w:cstheme="minorHAnsi"/>
                <w:b/>
                <w:bCs/>
                <w:color w:val="000000"/>
                <w:sz w:val="12"/>
                <w:szCs w:val="12"/>
              </w:rPr>
              <w:t>€ ( 46.0)</w:t>
            </w:r>
          </w:p>
        </w:tc>
        <w:tc>
          <w:tcPr>
            <w:tcW w:w="992" w:type="dxa"/>
            <w:tcBorders>
              <w:top w:val="single" w:sz="4" w:space="0" w:color="auto"/>
              <w:bottom w:val="nil"/>
            </w:tcBorders>
            <w:shd w:val="clear" w:color="auto" w:fill="auto"/>
          </w:tcPr>
          <w:p w14:paraId="44EC5BC2"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r w:rsidRPr="00FE3AF9">
              <w:rPr>
                <w:rFonts w:asciiTheme="minorHAnsi" w:hAnsiTheme="minorHAnsi" w:cstheme="minorHAnsi"/>
                <w:b/>
                <w:bCs/>
                <w:color w:val="000000"/>
                <w:sz w:val="12"/>
                <w:szCs w:val="12"/>
              </w:rPr>
              <w:t>€ ( 39.4)</w:t>
            </w:r>
          </w:p>
        </w:tc>
        <w:tc>
          <w:tcPr>
            <w:tcW w:w="992" w:type="dxa"/>
            <w:tcBorders>
              <w:top w:val="single" w:sz="4" w:space="0" w:color="auto"/>
              <w:bottom w:val="nil"/>
              <w:right w:val="single" w:sz="4" w:space="0" w:color="auto"/>
            </w:tcBorders>
            <w:shd w:val="clear" w:color="auto" w:fill="auto"/>
          </w:tcPr>
          <w:p w14:paraId="3A88F1A7"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r w:rsidRPr="00FE3AF9">
              <w:rPr>
                <w:rFonts w:asciiTheme="minorHAnsi" w:hAnsiTheme="minorHAnsi" w:cstheme="minorHAnsi"/>
                <w:b/>
                <w:bCs/>
                <w:color w:val="000000"/>
                <w:sz w:val="12"/>
                <w:szCs w:val="12"/>
              </w:rPr>
              <w:t>€ ( 6.7)</w:t>
            </w:r>
          </w:p>
        </w:tc>
        <w:tc>
          <w:tcPr>
            <w:tcW w:w="992" w:type="dxa"/>
            <w:tcBorders>
              <w:top w:val="single" w:sz="4" w:space="0" w:color="auto"/>
              <w:left w:val="single" w:sz="4" w:space="0" w:color="auto"/>
              <w:bottom w:val="nil"/>
            </w:tcBorders>
            <w:shd w:val="clear" w:color="auto" w:fill="auto"/>
          </w:tcPr>
          <w:p w14:paraId="32AB54C8"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r w:rsidRPr="00FE3AF9">
              <w:rPr>
                <w:rFonts w:asciiTheme="minorHAnsi" w:hAnsiTheme="minorHAnsi" w:cstheme="minorHAnsi"/>
                <w:b/>
                <w:bCs/>
                <w:color w:val="000000"/>
                <w:sz w:val="12"/>
                <w:szCs w:val="12"/>
              </w:rPr>
              <w:t>€ ( 104.4)</w:t>
            </w:r>
          </w:p>
        </w:tc>
        <w:tc>
          <w:tcPr>
            <w:tcW w:w="993" w:type="dxa"/>
            <w:tcBorders>
              <w:top w:val="single" w:sz="4" w:space="0" w:color="auto"/>
              <w:bottom w:val="nil"/>
            </w:tcBorders>
            <w:shd w:val="clear" w:color="auto" w:fill="auto"/>
          </w:tcPr>
          <w:p w14:paraId="71E05093"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r w:rsidRPr="00FE3AF9">
              <w:rPr>
                <w:rFonts w:asciiTheme="minorHAnsi" w:hAnsiTheme="minorHAnsi" w:cstheme="minorHAnsi"/>
                <w:b/>
                <w:bCs/>
                <w:color w:val="000000"/>
                <w:sz w:val="12"/>
                <w:szCs w:val="12"/>
              </w:rPr>
              <w:t>€ ( 468.1)</w:t>
            </w:r>
          </w:p>
        </w:tc>
        <w:tc>
          <w:tcPr>
            <w:tcW w:w="992" w:type="dxa"/>
            <w:tcBorders>
              <w:top w:val="single" w:sz="4" w:space="0" w:color="auto"/>
              <w:bottom w:val="nil"/>
            </w:tcBorders>
            <w:shd w:val="clear" w:color="auto" w:fill="auto"/>
          </w:tcPr>
          <w:p w14:paraId="45800206"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r w:rsidRPr="00FE3AF9">
              <w:rPr>
                <w:rFonts w:asciiTheme="minorHAnsi" w:hAnsiTheme="minorHAnsi" w:cstheme="minorHAnsi"/>
                <w:b/>
                <w:bCs/>
                <w:color w:val="000000"/>
                <w:sz w:val="12"/>
                <w:szCs w:val="12"/>
              </w:rPr>
              <w:t xml:space="preserve">€ 363.7 </w:t>
            </w:r>
          </w:p>
        </w:tc>
      </w:tr>
      <w:tr w:rsidR="0044035E" w:rsidRPr="00CA4A72" w14:paraId="27ADC03E" w14:textId="77777777" w:rsidTr="006A1A41">
        <w:trPr>
          <w:trHeight w:val="170"/>
        </w:trPr>
        <w:tc>
          <w:tcPr>
            <w:tcW w:w="3392" w:type="dxa"/>
            <w:tcBorders>
              <w:top w:val="nil"/>
              <w:bottom w:val="nil"/>
              <w:right w:val="single" w:sz="4" w:space="0" w:color="auto"/>
            </w:tcBorders>
            <w:shd w:val="clear" w:color="auto" w:fill="auto"/>
            <w:vAlign w:val="center"/>
            <w:hideMark/>
          </w:tcPr>
          <w:p w14:paraId="0D4543F0" w14:textId="77777777" w:rsidR="0044035E" w:rsidRPr="00CA4A72" w:rsidRDefault="0044035E" w:rsidP="006A1A41">
            <w:pPr>
              <w:rPr>
                <w:rFonts w:asciiTheme="minorHAnsi" w:eastAsia="Times New Roman" w:hAnsiTheme="minorHAnsi" w:cstheme="minorHAnsi"/>
                <w:b/>
                <w:bCs/>
                <w:sz w:val="12"/>
                <w:szCs w:val="14"/>
                <w:lang w:eastAsia="fr-FR"/>
              </w:rPr>
            </w:pPr>
            <w:r w:rsidRPr="00CA4A72">
              <w:rPr>
                <w:rFonts w:asciiTheme="minorHAnsi" w:hAnsiTheme="minorHAnsi" w:cstheme="minorHAnsi"/>
                <w:b/>
                <w:bCs/>
                <w:sz w:val="12"/>
                <w:szCs w:val="14"/>
              </w:rPr>
              <w:t> </w:t>
            </w:r>
          </w:p>
        </w:tc>
        <w:tc>
          <w:tcPr>
            <w:tcW w:w="998" w:type="dxa"/>
            <w:tcBorders>
              <w:top w:val="nil"/>
              <w:left w:val="single" w:sz="4" w:space="0" w:color="auto"/>
              <w:bottom w:val="nil"/>
            </w:tcBorders>
          </w:tcPr>
          <w:p w14:paraId="354BF91F"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p>
        </w:tc>
        <w:tc>
          <w:tcPr>
            <w:tcW w:w="992" w:type="dxa"/>
            <w:tcBorders>
              <w:top w:val="nil"/>
              <w:bottom w:val="nil"/>
            </w:tcBorders>
          </w:tcPr>
          <w:p w14:paraId="3EA0F72C"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p>
        </w:tc>
        <w:tc>
          <w:tcPr>
            <w:tcW w:w="992" w:type="dxa"/>
            <w:tcBorders>
              <w:top w:val="nil"/>
              <w:bottom w:val="nil"/>
              <w:right w:val="single" w:sz="4" w:space="0" w:color="auto"/>
            </w:tcBorders>
          </w:tcPr>
          <w:p w14:paraId="403735D1"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p>
        </w:tc>
        <w:tc>
          <w:tcPr>
            <w:tcW w:w="992" w:type="dxa"/>
            <w:tcBorders>
              <w:top w:val="nil"/>
              <w:left w:val="single" w:sz="4" w:space="0" w:color="auto"/>
            </w:tcBorders>
            <w:shd w:val="clear" w:color="auto" w:fill="auto"/>
          </w:tcPr>
          <w:p w14:paraId="21185CCF"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p>
        </w:tc>
        <w:tc>
          <w:tcPr>
            <w:tcW w:w="993" w:type="dxa"/>
            <w:tcBorders>
              <w:top w:val="nil"/>
            </w:tcBorders>
            <w:shd w:val="clear" w:color="auto" w:fill="auto"/>
          </w:tcPr>
          <w:p w14:paraId="3EAD286C"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p>
        </w:tc>
        <w:tc>
          <w:tcPr>
            <w:tcW w:w="992" w:type="dxa"/>
            <w:tcBorders>
              <w:top w:val="nil"/>
            </w:tcBorders>
            <w:shd w:val="clear" w:color="auto" w:fill="auto"/>
          </w:tcPr>
          <w:p w14:paraId="13F48C0E"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p>
        </w:tc>
      </w:tr>
      <w:tr w:rsidR="0044035E" w:rsidRPr="00CA4A72" w14:paraId="61C3C2E1" w14:textId="77777777" w:rsidTr="006A1A41">
        <w:trPr>
          <w:trHeight w:val="170"/>
        </w:trPr>
        <w:tc>
          <w:tcPr>
            <w:tcW w:w="3392" w:type="dxa"/>
            <w:tcBorders>
              <w:top w:val="nil"/>
              <w:bottom w:val="nil"/>
              <w:right w:val="single" w:sz="4" w:space="0" w:color="auto"/>
            </w:tcBorders>
            <w:shd w:val="clear" w:color="auto" w:fill="auto"/>
          </w:tcPr>
          <w:p w14:paraId="4FB4C51E" w14:textId="77777777" w:rsidR="0044035E" w:rsidRPr="00D27EF3" w:rsidRDefault="0044035E" w:rsidP="006A1A41">
            <w:pPr>
              <w:rPr>
                <w:rFonts w:asciiTheme="minorHAnsi" w:hAnsiTheme="minorHAnsi" w:cstheme="minorHAnsi"/>
                <w:sz w:val="12"/>
                <w:szCs w:val="12"/>
                <w:highlight w:val="yellow"/>
              </w:rPr>
            </w:pPr>
            <w:r w:rsidRPr="00D27EF3">
              <w:rPr>
                <w:sz w:val="12"/>
                <w:szCs w:val="12"/>
              </w:rPr>
              <w:t>Proceeds from exercise of stock options</w:t>
            </w:r>
          </w:p>
        </w:tc>
        <w:tc>
          <w:tcPr>
            <w:tcW w:w="998" w:type="dxa"/>
            <w:tcBorders>
              <w:top w:val="nil"/>
              <w:left w:val="single" w:sz="4" w:space="0" w:color="auto"/>
              <w:bottom w:val="nil"/>
            </w:tcBorders>
            <w:shd w:val="clear" w:color="auto" w:fill="auto"/>
          </w:tcPr>
          <w:p w14:paraId="64FAEB62" w14:textId="77777777" w:rsidR="0044035E" w:rsidRPr="0073725B" w:rsidRDefault="0044035E" w:rsidP="006A1A41">
            <w:pPr>
              <w:ind w:firstLineChars="100" w:firstLine="120"/>
              <w:jc w:val="right"/>
              <w:rPr>
                <w:rFonts w:asciiTheme="minorHAnsi" w:eastAsia="Times New Roman" w:hAnsiTheme="minorHAnsi" w:cstheme="minorHAnsi"/>
                <w:sz w:val="12"/>
                <w:szCs w:val="12"/>
                <w:lang w:eastAsia="fr-FR"/>
              </w:rPr>
            </w:pPr>
            <w:r w:rsidRPr="0073725B">
              <w:rPr>
                <w:rFonts w:asciiTheme="minorHAnsi" w:hAnsiTheme="minorHAnsi" w:cstheme="minorHAnsi"/>
                <w:color w:val="000000"/>
                <w:sz w:val="12"/>
                <w:szCs w:val="12"/>
              </w:rPr>
              <w:t>2</w:t>
            </w:r>
            <w:r w:rsidRPr="0073725B">
              <w:rPr>
                <w:rFonts w:asciiTheme="minorHAnsi" w:hAnsiTheme="minorHAnsi" w:cstheme="minorHAnsi"/>
                <w:color w:val="000000"/>
                <w:sz w:val="12"/>
                <w:szCs w:val="12"/>
                <w:lang w:eastAsia="zh-CN"/>
              </w:rPr>
              <w:t>3</w:t>
            </w:r>
            <w:r w:rsidRPr="0073725B">
              <w:rPr>
                <w:rFonts w:asciiTheme="minorHAnsi" w:hAnsiTheme="minorHAnsi" w:cstheme="minorHAnsi"/>
                <w:color w:val="000000"/>
                <w:sz w:val="12"/>
                <w:szCs w:val="12"/>
              </w:rPr>
              <w:t>.</w:t>
            </w:r>
            <w:r w:rsidRPr="0073725B">
              <w:rPr>
                <w:rFonts w:asciiTheme="minorHAnsi" w:hAnsiTheme="minorHAnsi" w:cstheme="minorHAnsi"/>
                <w:color w:val="000000"/>
                <w:sz w:val="12"/>
                <w:szCs w:val="12"/>
                <w:lang w:eastAsia="zh-CN"/>
              </w:rPr>
              <w:t>6</w:t>
            </w:r>
            <w:r w:rsidRPr="0073725B">
              <w:rPr>
                <w:rFonts w:asciiTheme="minorHAnsi" w:hAnsiTheme="minorHAnsi" w:cstheme="minorHAnsi"/>
                <w:color w:val="000000"/>
                <w:sz w:val="12"/>
                <w:szCs w:val="12"/>
              </w:rPr>
              <w:t xml:space="preserve"> </w:t>
            </w:r>
          </w:p>
        </w:tc>
        <w:tc>
          <w:tcPr>
            <w:tcW w:w="992" w:type="dxa"/>
            <w:tcBorders>
              <w:top w:val="nil"/>
              <w:bottom w:val="nil"/>
            </w:tcBorders>
            <w:shd w:val="clear" w:color="auto" w:fill="auto"/>
          </w:tcPr>
          <w:p w14:paraId="0925067E"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32.5 </w:t>
            </w:r>
          </w:p>
        </w:tc>
        <w:tc>
          <w:tcPr>
            <w:tcW w:w="992" w:type="dxa"/>
            <w:tcBorders>
              <w:top w:val="nil"/>
              <w:bottom w:val="nil"/>
              <w:right w:val="single" w:sz="4" w:space="0" w:color="auto"/>
            </w:tcBorders>
            <w:shd w:val="clear" w:color="auto" w:fill="auto"/>
          </w:tcPr>
          <w:p w14:paraId="6C76B4DC"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(8.9)</w:t>
            </w:r>
          </w:p>
        </w:tc>
        <w:tc>
          <w:tcPr>
            <w:tcW w:w="992" w:type="dxa"/>
            <w:tcBorders>
              <w:left w:val="single" w:sz="4" w:space="0" w:color="auto"/>
            </w:tcBorders>
            <w:shd w:val="clear" w:color="auto" w:fill="auto"/>
          </w:tcPr>
          <w:p w14:paraId="210558C1"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47.3 </w:t>
            </w:r>
          </w:p>
        </w:tc>
        <w:tc>
          <w:tcPr>
            <w:tcW w:w="993" w:type="dxa"/>
            <w:shd w:val="clear" w:color="auto" w:fill="auto"/>
          </w:tcPr>
          <w:p w14:paraId="652AAF44"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46.0 </w:t>
            </w:r>
          </w:p>
        </w:tc>
        <w:tc>
          <w:tcPr>
            <w:tcW w:w="992" w:type="dxa"/>
            <w:shd w:val="clear" w:color="auto" w:fill="auto"/>
          </w:tcPr>
          <w:p w14:paraId="3192A4A9"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1.3 </w:t>
            </w:r>
          </w:p>
        </w:tc>
      </w:tr>
      <w:tr w:rsidR="0044035E" w:rsidRPr="00CA4A72" w14:paraId="2C4E3952" w14:textId="77777777" w:rsidTr="006A1A41">
        <w:trPr>
          <w:trHeight w:val="170"/>
        </w:trPr>
        <w:tc>
          <w:tcPr>
            <w:tcW w:w="3392" w:type="dxa"/>
            <w:tcBorders>
              <w:top w:val="nil"/>
              <w:bottom w:val="nil"/>
              <w:right w:val="single" w:sz="4" w:space="0" w:color="auto"/>
            </w:tcBorders>
            <w:shd w:val="clear" w:color="auto" w:fill="auto"/>
          </w:tcPr>
          <w:p w14:paraId="2E1829A0" w14:textId="77777777" w:rsidR="0044035E" w:rsidRPr="00D27EF3" w:rsidRDefault="0044035E" w:rsidP="006A1A41">
            <w:pPr>
              <w:rPr>
                <w:rFonts w:asciiTheme="minorHAnsi" w:hAnsiTheme="minorHAnsi" w:cstheme="minorHAnsi"/>
                <w:sz w:val="12"/>
                <w:szCs w:val="12"/>
                <w:highlight w:val="yellow"/>
              </w:rPr>
            </w:pPr>
            <w:r w:rsidRPr="00D27EF3">
              <w:rPr>
                <w:sz w:val="12"/>
                <w:szCs w:val="12"/>
              </w:rPr>
              <w:t>Cash dividends paid</w:t>
            </w:r>
          </w:p>
        </w:tc>
        <w:tc>
          <w:tcPr>
            <w:tcW w:w="998" w:type="dxa"/>
            <w:tcBorders>
              <w:top w:val="nil"/>
              <w:left w:val="single" w:sz="4" w:space="0" w:color="auto"/>
              <w:bottom w:val="nil"/>
            </w:tcBorders>
            <w:shd w:val="clear" w:color="auto" w:fill="auto"/>
          </w:tcPr>
          <w:p w14:paraId="7001AA93"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(182.5)</w:t>
            </w:r>
          </w:p>
        </w:tc>
        <w:tc>
          <w:tcPr>
            <w:tcW w:w="992" w:type="dxa"/>
            <w:tcBorders>
              <w:top w:val="nil"/>
              <w:bottom w:val="nil"/>
            </w:tcBorders>
            <w:shd w:val="clear" w:color="auto" w:fill="auto"/>
          </w:tcPr>
          <w:p w14:paraId="0AF9C63D"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(168.8)</w:t>
            </w:r>
          </w:p>
        </w:tc>
        <w:tc>
          <w:tcPr>
            <w:tcW w:w="992" w:type="dxa"/>
            <w:tcBorders>
              <w:top w:val="nil"/>
              <w:bottom w:val="nil"/>
              <w:right w:val="single" w:sz="4" w:space="0" w:color="auto"/>
            </w:tcBorders>
            <w:shd w:val="clear" w:color="auto" w:fill="auto"/>
          </w:tcPr>
          <w:p w14:paraId="2B36B6F4"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(13.7)</w:t>
            </w:r>
          </w:p>
        </w:tc>
        <w:tc>
          <w:tcPr>
            <w:tcW w:w="992" w:type="dxa"/>
            <w:tcBorders>
              <w:left w:val="single" w:sz="4" w:space="0" w:color="auto"/>
            </w:tcBorders>
            <w:shd w:val="clear" w:color="auto" w:fill="auto"/>
          </w:tcPr>
          <w:p w14:paraId="6D15693B"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(182.5)</w:t>
            </w:r>
          </w:p>
        </w:tc>
        <w:tc>
          <w:tcPr>
            <w:tcW w:w="993" w:type="dxa"/>
            <w:shd w:val="clear" w:color="auto" w:fill="auto"/>
          </w:tcPr>
          <w:p w14:paraId="6972FE48"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(168.8)</w:t>
            </w:r>
          </w:p>
        </w:tc>
        <w:tc>
          <w:tcPr>
            <w:tcW w:w="992" w:type="dxa"/>
            <w:shd w:val="clear" w:color="auto" w:fill="auto"/>
          </w:tcPr>
          <w:p w14:paraId="7B92081D"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(13.7)</w:t>
            </w:r>
          </w:p>
        </w:tc>
      </w:tr>
      <w:tr w:rsidR="0044035E" w:rsidRPr="00CA4A72" w14:paraId="4AA9154D" w14:textId="77777777" w:rsidTr="006A1A41">
        <w:trPr>
          <w:trHeight w:val="170"/>
        </w:trPr>
        <w:tc>
          <w:tcPr>
            <w:tcW w:w="3392" w:type="dxa"/>
            <w:tcBorders>
              <w:top w:val="nil"/>
              <w:bottom w:val="nil"/>
              <w:right w:val="single" w:sz="4" w:space="0" w:color="auto"/>
            </w:tcBorders>
            <w:shd w:val="clear" w:color="auto" w:fill="auto"/>
            <w:hideMark/>
          </w:tcPr>
          <w:p w14:paraId="4FF9D122" w14:textId="77777777" w:rsidR="0044035E" w:rsidRPr="00D27EF3" w:rsidRDefault="0044035E" w:rsidP="006A1A41">
            <w:pPr>
              <w:rPr>
                <w:rFonts w:asciiTheme="minorHAnsi" w:eastAsia="Times New Roman" w:hAnsiTheme="minorHAnsi" w:cstheme="minorHAnsi"/>
                <w:sz w:val="12"/>
                <w:szCs w:val="12"/>
                <w:highlight w:val="yellow"/>
                <w:lang w:eastAsia="fr-FR"/>
              </w:rPr>
            </w:pPr>
            <w:r w:rsidRPr="00D27EF3">
              <w:rPr>
                <w:sz w:val="12"/>
                <w:szCs w:val="12"/>
              </w:rPr>
              <w:t xml:space="preserve">Repurchase </w:t>
            </w:r>
            <w:r>
              <w:rPr>
                <w:sz w:val="12"/>
                <w:szCs w:val="12"/>
              </w:rPr>
              <w:t>and</w:t>
            </w:r>
            <w:r w:rsidRPr="00D27EF3">
              <w:rPr>
                <w:sz w:val="12"/>
                <w:szCs w:val="12"/>
              </w:rPr>
              <w:t xml:space="preserve"> </w:t>
            </w:r>
            <w:r>
              <w:rPr>
                <w:sz w:val="12"/>
                <w:szCs w:val="12"/>
              </w:rPr>
              <w:t xml:space="preserve">sale of </w:t>
            </w:r>
            <w:r w:rsidRPr="00D27EF3">
              <w:rPr>
                <w:sz w:val="12"/>
                <w:szCs w:val="12"/>
              </w:rPr>
              <w:t>treasury stock</w:t>
            </w:r>
          </w:p>
        </w:tc>
        <w:tc>
          <w:tcPr>
            <w:tcW w:w="998" w:type="dxa"/>
            <w:tcBorders>
              <w:top w:val="nil"/>
              <w:left w:val="single" w:sz="4" w:space="0" w:color="auto"/>
              <w:bottom w:val="nil"/>
            </w:tcBorders>
            <w:shd w:val="clear" w:color="auto" w:fill="auto"/>
          </w:tcPr>
          <w:p w14:paraId="3DD8F718"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3.4 </w:t>
            </w:r>
          </w:p>
        </w:tc>
        <w:tc>
          <w:tcPr>
            <w:tcW w:w="992" w:type="dxa"/>
            <w:tcBorders>
              <w:top w:val="nil"/>
              <w:bottom w:val="nil"/>
            </w:tcBorders>
            <w:shd w:val="clear" w:color="auto" w:fill="auto"/>
          </w:tcPr>
          <w:p w14:paraId="478C2338"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0.6 </w:t>
            </w:r>
          </w:p>
        </w:tc>
        <w:tc>
          <w:tcPr>
            <w:tcW w:w="992" w:type="dxa"/>
            <w:tcBorders>
              <w:top w:val="nil"/>
              <w:bottom w:val="nil"/>
              <w:right w:val="single" w:sz="4" w:space="0" w:color="auto"/>
            </w:tcBorders>
            <w:shd w:val="clear" w:color="auto" w:fill="auto"/>
          </w:tcPr>
          <w:p w14:paraId="662FEA77"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2.9 </w:t>
            </w:r>
          </w:p>
        </w:tc>
        <w:tc>
          <w:tcPr>
            <w:tcW w:w="992" w:type="dxa"/>
            <w:tcBorders>
              <w:left w:val="single" w:sz="4" w:space="0" w:color="auto"/>
            </w:tcBorders>
            <w:shd w:val="clear" w:color="auto" w:fill="auto"/>
          </w:tcPr>
          <w:p w14:paraId="5742D03D"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(104.7)</w:t>
            </w:r>
          </w:p>
        </w:tc>
        <w:tc>
          <w:tcPr>
            <w:tcW w:w="993" w:type="dxa"/>
            <w:shd w:val="clear" w:color="auto" w:fill="auto"/>
          </w:tcPr>
          <w:p w14:paraId="393B9B69"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9.2 </w:t>
            </w:r>
          </w:p>
        </w:tc>
        <w:tc>
          <w:tcPr>
            <w:tcW w:w="992" w:type="dxa"/>
            <w:shd w:val="clear" w:color="auto" w:fill="auto"/>
          </w:tcPr>
          <w:p w14:paraId="3EC5F086"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(113.8)</w:t>
            </w:r>
          </w:p>
        </w:tc>
      </w:tr>
      <w:tr w:rsidR="0044035E" w:rsidRPr="00CA4A72" w14:paraId="05082ED5" w14:textId="77777777" w:rsidTr="006A1A41">
        <w:trPr>
          <w:trHeight w:val="170"/>
        </w:trPr>
        <w:tc>
          <w:tcPr>
            <w:tcW w:w="3392" w:type="dxa"/>
            <w:tcBorders>
              <w:top w:val="nil"/>
              <w:bottom w:val="nil"/>
              <w:right w:val="single" w:sz="4" w:space="0" w:color="auto"/>
            </w:tcBorders>
            <w:shd w:val="clear" w:color="auto" w:fill="auto"/>
            <w:hideMark/>
          </w:tcPr>
          <w:p w14:paraId="53A315E5" w14:textId="77777777" w:rsidR="0044035E" w:rsidRPr="00D27EF3" w:rsidRDefault="0044035E" w:rsidP="006A1A41">
            <w:pPr>
              <w:rPr>
                <w:rFonts w:asciiTheme="minorHAnsi" w:eastAsia="Times New Roman" w:hAnsiTheme="minorHAnsi" w:cstheme="minorHAnsi"/>
                <w:sz w:val="12"/>
                <w:szCs w:val="12"/>
                <w:highlight w:val="yellow"/>
                <w:lang w:eastAsia="fr-FR"/>
              </w:rPr>
            </w:pPr>
            <w:r w:rsidRPr="00D27EF3">
              <w:rPr>
                <w:sz w:val="12"/>
                <w:szCs w:val="12"/>
              </w:rPr>
              <w:t>Proceeds from borrowings</w:t>
            </w:r>
          </w:p>
        </w:tc>
        <w:tc>
          <w:tcPr>
            <w:tcW w:w="998" w:type="dxa"/>
            <w:tcBorders>
              <w:top w:val="nil"/>
              <w:left w:val="single" w:sz="4" w:space="0" w:color="auto"/>
              <w:bottom w:val="nil"/>
            </w:tcBorders>
            <w:shd w:val="clear" w:color="auto" w:fill="auto"/>
          </w:tcPr>
          <w:p w14:paraId="328BD3C0"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0.3 </w:t>
            </w:r>
          </w:p>
        </w:tc>
        <w:tc>
          <w:tcPr>
            <w:tcW w:w="992" w:type="dxa"/>
            <w:tcBorders>
              <w:top w:val="nil"/>
              <w:bottom w:val="nil"/>
            </w:tcBorders>
            <w:shd w:val="clear" w:color="auto" w:fill="auto"/>
          </w:tcPr>
          <w:p w14:paraId="39473342"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 - </w:t>
            </w:r>
          </w:p>
        </w:tc>
        <w:tc>
          <w:tcPr>
            <w:tcW w:w="992" w:type="dxa"/>
            <w:tcBorders>
              <w:top w:val="nil"/>
              <w:bottom w:val="nil"/>
              <w:right w:val="single" w:sz="4" w:space="0" w:color="auto"/>
            </w:tcBorders>
            <w:shd w:val="clear" w:color="auto" w:fill="auto"/>
          </w:tcPr>
          <w:p w14:paraId="7B8641E4"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0.3 </w:t>
            </w:r>
          </w:p>
        </w:tc>
        <w:tc>
          <w:tcPr>
            <w:tcW w:w="992" w:type="dxa"/>
            <w:tcBorders>
              <w:left w:val="single" w:sz="4" w:space="0" w:color="auto"/>
            </w:tcBorders>
            <w:shd w:val="clear" w:color="auto" w:fill="auto"/>
          </w:tcPr>
          <w:p w14:paraId="689ABCA4"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1.8 </w:t>
            </w:r>
          </w:p>
        </w:tc>
        <w:tc>
          <w:tcPr>
            <w:tcW w:w="993" w:type="dxa"/>
            <w:shd w:val="clear" w:color="auto" w:fill="auto"/>
          </w:tcPr>
          <w:p w14:paraId="1343C050"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 - </w:t>
            </w:r>
          </w:p>
        </w:tc>
        <w:tc>
          <w:tcPr>
            <w:tcW w:w="992" w:type="dxa"/>
            <w:shd w:val="clear" w:color="auto" w:fill="auto"/>
          </w:tcPr>
          <w:p w14:paraId="293583A6"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1.8 </w:t>
            </w:r>
          </w:p>
        </w:tc>
      </w:tr>
      <w:tr w:rsidR="0044035E" w:rsidRPr="00CA4A72" w14:paraId="3766E54A" w14:textId="77777777" w:rsidTr="006A1A41">
        <w:trPr>
          <w:trHeight w:val="170"/>
        </w:trPr>
        <w:tc>
          <w:tcPr>
            <w:tcW w:w="3392" w:type="dxa"/>
            <w:tcBorders>
              <w:top w:val="nil"/>
              <w:bottom w:val="nil"/>
              <w:right w:val="single" w:sz="4" w:space="0" w:color="auto"/>
            </w:tcBorders>
            <w:shd w:val="clear" w:color="auto" w:fill="auto"/>
            <w:hideMark/>
          </w:tcPr>
          <w:p w14:paraId="25F94559" w14:textId="77777777" w:rsidR="0044035E" w:rsidRPr="00D27EF3" w:rsidRDefault="0044035E" w:rsidP="006A1A41">
            <w:pPr>
              <w:rPr>
                <w:rFonts w:asciiTheme="minorHAnsi" w:eastAsia="Times New Roman" w:hAnsiTheme="minorHAnsi" w:cstheme="minorHAnsi"/>
                <w:sz w:val="12"/>
                <w:szCs w:val="12"/>
                <w:highlight w:val="yellow"/>
                <w:lang w:eastAsia="fr-FR"/>
              </w:rPr>
            </w:pPr>
            <w:r w:rsidRPr="00D27EF3">
              <w:rPr>
                <w:sz w:val="12"/>
                <w:szCs w:val="12"/>
              </w:rPr>
              <w:t>Repayment of borrowings</w:t>
            </w:r>
          </w:p>
        </w:tc>
        <w:tc>
          <w:tcPr>
            <w:tcW w:w="998" w:type="dxa"/>
            <w:tcBorders>
              <w:top w:val="nil"/>
              <w:left w:val="single" w:sz="4" w:space="0" w:color="auto"/>
              <w:bottom w:val="nil"/>
            </w:tcBorders>
            <w:shd w:val="clear" w:color="auto" w:fill="auto"/>
          </w:tcPr>
          <w:p w14:paraId="66E62200"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 - </w:t>
            </w:r>
          </w:p>
        </w:tc>
        <w:tc>
          <w:tcPr>
            <w:tcW w:w="992" w:type="dxa"/>
            <w:tcBorders>
              <w:top w:val="nil"/>
              <w:bottom w:val="nil"/>
            </w:tcBorders>
            <w:shd w:val="clear" w:color="auto" w:fill="auto"/>
          </w:tcPr>
          <w:p w14:paraId="25B33C75"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 - </w:t>
            </w:r>
          </w:p>
        </w:tc>
        <w:tc>
          <w:tcPr>
            <w:tcW w:w="992" w:type="dxa"/>
            <w:tcBorders>
              <w:top w:val="nil"/>
              <w:bottom w:val="nil"/>
              <w:right w:val="single" w:sz="4" w:space="0" w:color="auto"/>
            </w:tcBorders>
            <w:shd w:val="clear" w:color="auto" w:fill="auto"/>
          </w:tcPr>
          <w:p w14:paraId="682321E7"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 - </w:t>
            </w:r>
          </w:p>
        </w:tc>
        <w:tc>
          <w:tcPr>
            <w:tcW w:w="992" w:type="dxa"/>
            <w:tcBorders>
              <w:left w:val="single" w:sz="4" w:space="0" w:color="auto"/>
            </w:tcBorders>
            <w:shd w:val="clear" w:color="auto" w:fill="auto"/>
          </w:tcPr>
          <w:p w14:paraId="26D88D1C"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 - </w:t>
            </w:r>
          </w:p>
        </w:tc>
        <w:tc>
          <w:tcPr>
            <w:tcW w:w="993" w:type="dxa"/>
            <w:shd w:val="clear" w:color="auto" w:fill="auto"/>
          </w:tcPr>
          <w:p w14:paraId="5CAA3E1E"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(0.8)</w:t>
            </w:r>
          </w:p>
        </w:tc>
        <w:tc>
          <w:tcPr>
            <w:tcW w:w="992" w:type="dxa"/>
            <w:shd w:val="clear" w:color="auto" w:fill="auto"/>
          </w:tcPr>
          <w:p w14:paraId="0A1DE1AA"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 xml:space="preserve">0.8 </w:t>
            </w:r>
          </w:p>
        </w:tc>
      </w:tr>
      <w:tr w:rsidR="0044035E" w:rsidRPr="00CA4A72" w14:paraId="7C702CF4" w14:textId="77777777" w:rsidTr="006A1A41">
        <w:trPr>
          <w:trHeight w:val="170"/>
        </w:trPr>
        <w:tc>
          <w:tcPr>
            <w:tcW w:w="3392" w:type="dxa"/>
            <w:tcBorders>
              <w:top w:val="nil"/>
              <w:bottom w:val="nil"/>
              <w:right w:val="single" w:sz="4" w:space="0" w:color="auto"/>
            </w:tcBorders>
            <w:shd w:val="clear" w:color="auto" w:fill="auto"/>
          </w:tcPr>
          <w:p w14:paraId="01771A02" w14:textId="77777777" w:rsidR="0044035E" w:rsidRPr="00D27EF3" w:rsidRDefault="0044035E" w:rsidP="006A1A41">
            <w:pPr>
              <w:rPr>
                <w:rFonts w:asciiTheme="minorHAnsi" w:hAnsiTheme="minorHAnsi" w:cstheme="minorHAnsi"/>
                <w:sz w:val="12"/>
                <w:szCs w:val="12"/>
                <w:highlight w:val="yellow"/>
              </w:rPr>
            </w:pPr>
            <w:r w:rsidRPr="00D27EF3">
              <w:rPr>
                <w:sz w:val="12"/>
                <w:szCs w:val="12"/>
              </w:rPr>
              <w:t>Repayment of lease liabilities</w:t>
            </w:r>
          </w:p>
        </w:tc>
        <w:tc>
          <w:tcPr>
            <w:tcW w:w="998" w:type="dxa"/>
            <w:tcBorders>
              <w:top w:val="nil"/>
              <w:left w:val="single" w:sz="4" w:space="0" w:color="auto"/>
              <w:bottom w:val="single" w:sz="4" w:space="0" w:color="auto"/>
            </w:tcBorders>
            <w:shd w:val="clear" w:color="auto" w:fill="auto"/>
          </w:tcPr>
          <w:p w14:paraId="512D7533"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(21.8)</w:t>
            </w:r>
          </w:p>
        </w:tc>
        <w:tc>
          <w:tcPr>
            <w:tcW w:w="992" w:type="dxa"/>
            <w:tcBorders>
              <w:top w:val="nil"/>
              <w:bottom w:val="single" w:sz="4" w:space="0" w:color="auto"/>
            </w:tcBorders>
            <w:shd w:val="clear" w:color="auto" w:fill="auto"/>
          </w:tcPr>
          <w:p w14:paraId="57F60164"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(20.3)</w:t>
            </w:r>
          </w:p>
        </w:tc>
        <w:tc>
          <w:tcPr>
            <w:tcW w:w="992" w:type="dxa"/>
            <w:tcBorders>
              <w:top w:val="nil"/>
              <w:bottom w:val="single" w:sz="4" w:space="0" w:color="auto"/>
              <w:right w:val="single" w:sz="4" w:space="0" w:color="auto"/>
            </w:tcBorders>
            <w:shd w:val="clear" w:color="auto" w:fill="auto"/>
          </w:tcPr>
          <w:p w14:paraId="13A032CC"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(1.5)</w:t>
            </w:r>
          </w:p>
        </w:tc>
        <w:tc>
          <w:tcPr>
            <w:tcW w:w="992" w:type="dxa"/>
            <w:tcBorders>
              <w:left w:val="single" w:sz="4" w:space="0" w:color="auto"/>
              <w:bottom w:val="single" w:sz="4" w:space="0" w:color="auto"/>
            </w:tcBorders>
            <w:shd w:val="clear" w:color="auto" w:fill="auto"/>
          </w:tcPr>
          <w:p w14:paraId="03C96AF2"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(47.4)</w:t>
            </w:r>
          </w:p>
        </w:tc>
        <w:tc>
          <w:tcPr>
            <w:tcW w:w="993" w:type="dxa"/>
            <w:tcBorders>
              <w:bottom w:val="single" w:sz="4" w:space="0" w:color="auto"/>
            </w:tcBorders>
            <w:shd w:val="clear" w:color="auto" w:fill="auto"/>
          </w:tcPr>
          <w:p w14:paraId="6118672E"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(37.3)</w:t>
            </w:r>
          </w:p>
        </w:tc>
        <w:tc>
          <w:tcPr>
            <w:tcW w:w="992" w:type="dxa"/>
            <w:tcBorders>
              <w:bottom w:val="single" w:sz="4" w:space="0" w:color="auto"/>
            </w:tcBorders>
            <w:shd w:val="clear" w:color="auto" w:fill="auto"/>
          </w:tcPr>
          <w:p w14:paraId="003B426E" w14:textId="77777777" w:rsidR="0044035E" w:rsidRPr="00FE3AF9" w:rsidRDefault="0044035E" w:rsidP="006A1A41">
            <w:pPr>
              <w:ind w:firstLineChars="100" w:firstLine="120"/>
              <w:jc w:val="right"/>
              <w:rPr>
                <w:rFonts w:asciiTheme="minorHAnsi" w:eastAsia="Times New Roman" w:hAnsiTheme="minorHAnsi" w:cstheme="minorHAnsi"/>
                <w:sz w:val="12"/>
                <w:szCs w:val="12"/>
                <w:lang w:eastAsia="fr-FR"/>
              </w:rPr>
            </w:pPr>
            <w:r w:rsidRPr="00FE3AF9">
              <w:rPr>
                <w:rFonts w:asciiTheme="minorHAnsi" w:hAnsiTheme="minorHAnsi" w:cstheme="minorHAnsi"/>
                <w:color w:val="000000"/>
                <w:sz w:val="12"/>
                <w:szCs w:val="12"/>
              </w:rPr>
              <w:t>(10.1)</w:t>
            </w:r>
          </w:p>
        </w:tc>
      </w:tr>
      <w:tr w:rsidR="0044035E" w:rsidRPr="00CA4A72" w14:paraId="5794A513" w14:textId="77777777" w:rsidTr="006A1A41">
        <w:trPr>
          <w:trHeight w:val="170"/>
        </w:trPr>
        <w:tc>
          <w:tcPr>
            <w:tcW w:w="3392" w:type="dxa"/>
            <w:tcBorders>
              <w:top w:val="nil"/>
              <w:bottom w:val="nil"/>
              <w:right w:val="single" w:sz="4" w:space="0" w:color="auto"/>
            </w:tcBorders>
            <w:shd w:val="clear" w:color="auto" w:fill="auto"/>
            <w:hideMark/>
          </w:tcPr>
          <w:p w14:paraId="76799948" w14:textId="77777777" w:rsidR="0044035E" w:rsidRPr="00D27EF3" w:rsidRDefault="0044035E" w:rsidP="006A1A41">
            <w:pPr>
              <w:rPr>
                <w:rFonts w:asciiTheme="minorHAnsi" w:eastAsia="Times New Roman" w:hAnsiTheme="minorHAnsi" w:cstheme="minorHAnsi"/>
                <w:b/>
                <w:bCs/>
                <w:sz w:val="12"/>
                <w:szCs w:val="12"/>
                <w:lang w:eastAsia="fr-FR"/>
              </w:rPr>
            </w:pPr>
            <w:r w:rsidRPr="00D27EF3">
              <w:rPr>
                <w:b/>
                <w:sz w:val="12"/>
                <w:szCs w:val="12"/>
              </w:rPr>
              <w:t>Net Cash Provided by (Used in) Financing Activities</w:t>
            </w:r>
          </w:p>
        </w:tc>
        <w:tc>
          <w:tcPr>
            <w:tcW w:w="998" w:type="dxa"/>
            <w:tcBorders>
              <w:top w:val="single" w:sz="4" w:space="0" w:color="auto"/>
              <w:left w:val="single" w:sz="4" w:space="0" w:color="auto"/>
              <w:bottom w:val="nil"/>
            </w:tcBorders>
            <w:shd w:val="clear" w:color="auto" w:fill="auto"/>
          </w:tcPr>
          <w:p w14:paraId="31FA4523"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r w:rsidRPr="00FE3AF9">
              <w:rPr>
                <w:rFonts w:asciiTheme="minorHAnsi" w:hAnsiTheme="minorHAnsi" w:cstheme="minorHAnsi"/>
                <w:b/>
                <w:bCs/>
                <w:color w:val="000000"/>
                <w:sz w:val="12"/>
                <w:szCs w:val="12"/>
              </w:rPr>
              <w:t>€ ( 176.9)</w:t>
            </w:r>
          </w:p>
        </w:tc>
        <w:tc>
          <w:tcPr>
            <w:tcW w:w="992" w:type="dxa"/>
            <w:tcBorders>
              <w:top w:val="single" w:sz="4" w:space="0" w:color="auto"/>
              <w:bottom w:val="nil"/>
            </w:tcBorders>
            <w:shd w:val="clear" w:color="auto" w:fill="auto"/>
          </w:tcPr>
          <w:p w14:paraId="693B0B6E"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r w:rsidRPr="00FE3AF9">
              <w:rPr>
                <w:rFonts w:asciiTheme="minorHAnsi" w:hAnsiTheme="minorHAnsi" w:cstheme="minorHAnsi"/>
                <w:b/>
                <w:bCs/>
                <w:color w:val="000000"/>
                <w:sz w:val="12"/>
                <w:szCs w:val="12"/>
              </w:rPr>
              <w:t>€ ( 156.0)</w:t>
            </w:r>
          </w:p>
        </w:tc>
        <w:tc>
          <w:tcPr>
            <w:tcW w:w="992" w:type="dxa"/>
            <w:tcBorders>
              <w:top w:val="single" w:sz="4" w:space="0" w:color="auto"/>
              <w:bottom w:val="nil"/>
              <w:right w:val="single" w:sz="4" w:space="0" w:color="auto"/>
            </w:tcBorders>
            <w:shd w:val="clear" w:color="auto" w:fill="auto"/>
          </w:tcPr>
          <w:p w14:paraId="19327240"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r w:rsidRPr="00FE3AF9">
              <w:rPr>
                <w:rFonts w:asciiTheme="minorHAnsi" w:hAnsiTheme="minorHAnsi" w:cstheme="minorHAnsi"/>
                <w:b/>
                <w:bCs/>
                <w:color w:val="000000"/>
                <w:sz w:val="12"/>
                <w:szCs w:val="12"/>
              </w:rPr>
              <w:t>€ ( 20.9)</w:t>
            </w:r>
          </w:p>
        </w:tc>
        <w:tc>
          <w:tcPr>
            <w:tcW w:w="992" w:type="dxa"/>
            <w:tcBorders>
              <w:top w:val="single" w:sz="4" w:space="0" w:color="auto"/>
              <w:left w:val="single" w:sz="4" w:space="0" w:color="auto"/>
              <w:bottom w:val="nil"/>
            </w:tcBorders>
            <w:shd w:val="clear" w:color="auto" w:fill="auto"/>
          </w:tcPr>
          <w:p w14:paraId="3F55BB52"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r w:rsidRPr="00FE3AF9">
              <w:rPr>
                <w:rFonts w:asciiTheme="minorHAnsi" w:hAnsiTheme="minorHAnsi" w:cstheme="minorHAnsi"/>
                <w:b/>
                <w:bCs/>
                <w:color w:val="000000"/>
                <w:sz w:val="12"/>
                <w:szCs w:val="12"/>
              </w:rPr>
              <w:t>€ ( 285.4)</w:t>
            </w:r>
          </w:p>
        </w:tc>
        <w:tc>
          <w:tcPr>
            <w:tcW w:w="993" w:type="dxa"/>
            <w:tcBorders>
              <w:top w:val="single" w:sz="4" w:space="0" w:color="auto"/>
              <w:bottom w:val="nil"/>
            </w:tcBorders>
            <w:shd w:val="clear" w:color="auto" w:fill="auto"/>
          </w:tcPr>
          <w:p w14:paraId="570009DC"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r w:rsidRPr="00FE3AF9">
              <w:rPr>
                <w:rFonts w:asciiTheme="minorHAnsi" w:hAnsiTheme="minorHAnsi" w:cstheme="minorHAnsi"/>
                <w:b/>
                <w:bCs/>
                <w:color w:val="000000"/>
                <w:sz w:val="12"/>
                <w:szCs w:val="12"/>
              </w:rPr>
              <w:t>€ ( 151.7)</w:t>
            </w:r>
          </w:p>
        </w:tc>
        <w:tc>
          <w:tcPr>
            <w:tcW w:w="992" w:type="dxa"/>
            <w:tcBorders>
              <w:top w:val="single" w:sz="4" w:space="0" w:color="auto"/>
              <w:bottom w:val="nil"/>
            </w:tcBorders>
            <w:shd w:val="clear" w:color="auto" w:fill="auto"/>
          </w:tcPr>
          <w:p w14:paraId="37872B4B"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r w:rsidRPr="00FE3AF9">
              <w:rPr>
                <w:rFonts w:asciiTheme="minorHAnsi" w:hAnsiTheme="minorHAnsi" w:cstheme="minorHAnsi"/>
                <w:b/>
                <w:bCs/>
                <w:color w:val="000000"/>
                <w:sz w:val="12"/>
                <w:szCs w:val="12"/>
              </w:rPr>
              <w:t>€ ( 133.6)</w:t>
            </w:r>
          </w:p>
        </w:tc>
      </w:tr>
      <w:tr w:rsidR="0044035E" w:rsidRPr="00CA4A72" w14:paraId="588D03DB" w14:textId="77777777" w:rsidTr="006A1A41">
        <w:trPr>
          <w:trHeight w:val="170"/>
        </w:trPr>
        <w:tc>
          <w:tcPr>
            <w:tcW w:w="3392" w:type="dxa"/>
            <w:tcBorders>
              <w:top w:val="nil"/>
              <w:bottom w:val="nil"/>
              <w:right w:val="single" w:sz="4" w:space="0" w:color="auto"/>
            </w:tcBorders>
            <w:shd w:val="clear" w:color="auto" w:fill="auto"/>
            <w:vAlign w:val="center"/>
            <w:hideMark/>
          </w:tcPr>
          <w:p w14:paraId="7C8DB905" w14:textId="77777777" w:rsidR="0044035E" w:rsidRPr="00CA4A72" w:rsidRDefault="0044035E" w:rsidP="006A1A41">
            <w:pPr>
              <w:rPr>
                <w:rFonts w:asciiTheme="minorHAnsi" w:eastAsia="Times New Roman" w:hAnsiTheme="minorHAnsi" w:cstheme="minorHAnsi"/>
                <w:b/>
                <w:bCs/>
                <w:sz w:val="12"/>
                <w:szCs w:val="14"/>
                <w:lang w:eastAsia="fr-FR"/>
              </w:rPr>
            </w:pPr>
            <w:r w:rsidRPr="00CA4A72">
              <w:rPr>
                <w:rFonts w:asciiTheme="minorHAnsi" w:hAnsiTheme="minorHAnsi" w:cstheme="minorHAnsi"/>
                <w:b/>
                <w:bCs/>
                <w:sz w:val="12"/>
                <w:szCs w:val="14"/>
              </w:rPr>
              <w:t> </w:t>
            </w:r>
          </w:p>
        </w:tc>
        <w:tc>
          <w:tcPr>
            <w:tcW w:w="998" w:type="dxa"/>
            <w:tcBorders>
              <w:top w:val="nil"/>
              <w:left w:val="single" w:sz="4" w:space="0" w:color="auto"/>
              <w:bottom w:val="nil"/>
            </w:tcBorders>
            <w:shd w:val="clear" w:color="auto" w:fill="auto"/>
          </w:tcPr>
          <w:p w14:paraId="63FFDCF7"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p>
        </w:tc>
        <w:tc>
          <w:tcPr>
            <w:tcW w:w="992" w:type="dxa"/>
            <w:tcBorders>
              <w:top w:val="nil"/>
              <w:bottom w:val="nil"/>
            </w:tcBorders>
            <w:shd w:val="clear" w:color="auto" w:fill="auto"/>
          </w:tcPr>
          <w:p w14:paraId="69CCDC26"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p>
        </w:tc>
        <w:tc>
          <w:tcPr>
            <w:tcW w:w="992" w:type="dxa"/>
            <w:tcBorders>
              <w:top w:val="nil"/>
              <w:bottom w:val="nil"/>
              <w:right w:val="single" w:sz="4" w:space="0" w:color="auto"/>
            </w:tcBorders>
            <w:shd w:val="clear" w:color="auto" w:fill="auto"/>
          </w:tcPr>
          <w:p w14:paraId="732697A3"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p>
        </w:tc>
        <w:tc>
          <w:tcPr>
            <w:tcW w:w="992" w:type="dxa"/>
            <w:tcBorders>
              <w:top w:val="nil"/>
              <w:left w:val="single" w:sz="4" w:space="0" w:color="auto"/>
            </w:tcBorders>
            <w:shd w:val="clear" w:color="auto" w:fill="auto"/>
          </w:tcPr>
          <w:p w14:paraId="2A942F65"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p>
        </w:tc>
        <w:tc>
          <w:tcPr>
            <w:tcW w:w="993" w:type="dxa"/>
            <w:tcBorders>
              <w:top w:val="nil"/>
            </w:tcBorders>
            <w:shd w:val="clear" w:color="auto" w:fill="auto"/>
          </w:tcPr>
          <w:p w14:paraId="11EAEDD1"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p>
        </w:tc>
        <w:tc>
          <w:tcPr>
            <w:tcW w:w="992" w:type="dxa"/>
            <w:tcBorders>
              <w:top w:val="nil"/>
            </w:tcBorders>
            <w:shd w:val="clear" w:color="auto" w:fill="auto"/>
          </w:tcPr>
          <w:p w14:paraId="7CB22045"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p>
        </w:tc>
      </w:tr>
      <w:tr w:rsidR="0044035E" w:rsidRPr="00CA4A72" w14:paraId="2CCD51F2" w14:textId="77777777" w:rsidTr="006A1A41">
        <w:trPr>
          <w:trHeight w:val="170"/>
        </w:trPr>
        <w:tc>
          <w:tcPr>
            <w:tcW w:w="3392" w:type="dxa"/>
            <w:tcBorders>
              <w:top w:val="nil"/>
              <w:bottom w:val="nil"/>
              <w:right w:val="single" w:sz="4" w:space="0" w:color="auto"/>
            </w:tcBorders>
            <w:shd w:val="clear" w:color="auto" w:fill="auto"/>
            <w:vAlign w:val="center"/>
            <w:hideMark/>
          </w:tcPr>
          <w:p w14:paraId="34D9CE16" w14:textId="77777777" w:rsidR="0044035E" w:rsidRPr="00CA4A72" w:rsidRDefault="0044035E" w:rsidP="006A1A41">
            <w:pPr>
              <w:rPr>
                <w:rFonts w:asciiTheme="minorHAnsi" w:eastAsia="Times New Roman" w:hAnsiTheme="minorHAnsi" w:cstheme="minorHAnsi"/>
                <w:b/>
                <w:bCs/>
                <w:sz w:val="12"/>
                <w:szCs w:val="14"/>
                <w:lang w:eastAsia="fr-FR"/>
              </w:rPr>
            </w:pPr>
            <w:r w:rsidRPr="00D27EF3">
              <w:rPr>
                <w:rFonts w:asciiTheme="minorHAnsi" w:hAnsiTheme="minorHAnsi" w:cstheme="minorHAnsi"/>
                <w:b/>
                <w:bCs/>
                <w:sz w:val="12"/>
                <w:szCs w:val="14"/>
              </w:rPr>
              <w:t>Effect of exchange rate changes on cash and cash equivalents</w:t>
            </w:r>
          </w:p>
        </w:tc>
        <w:tc>
          <w:tcPr>
            <w:tcW w:w="998" w:type="dxa"/>
            <w:tcBorders>
              <w:top w:val="nil"/>
              <w:left w:val="single" w:sz="4" w:space="0" w:color="auto"/>
              <w:bottom w:val="nil"/>
            </w:tcBorders>
            <w:shd w:val="clear" w:color="auto" w:fill="auto"/>
          </w:tcPr>
          <w:p w14:paraId="22C4008E"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r w:rsidRPr="00FE3AF9">
              <w:rPr>
                <w:rFonts w:asciiTheme="minorHAnsi" w:hAnsiTheme="minorHAnsi" w:cstheme="minorHAnsi"/>
                <w:b/>
                <w:bCs/>
                <w:color w:val="000000"/>
                <w:sz w:val="12"/>
                <w:szCs w:val="12"/>
              </w:rPr>
              <w:t>(18.0)</w:t>
            </w:r>
          </w:p>
        </w:tc>
        <w:tc>
          <w:tcPr>
            <w:tcW w:w="992" w:type="dxa"/>
            <w:tcBorders>
              <w:top w:val="nil"/>
              <w:bottom w:val="nil"/>
            </w:tcBorders>
            <w:shd w:val="clear" w:color="auto" w:fill="auto"/>
          </w:tcPr>
          <w:p w14:paraId="545603E7"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r w:rsidRPr="00FE3AF9">
              <w:rPr>
                <w:rFonts w:asciiTheme="minorHAnsi" w:hAnsiTheme="minorHAnsi" w:cstheme="minorHAnsi"/>
                <w:b/>
                <w:bCs/>
                <w:color w:val="000000"/>
                <w:sz w:val="12"/>
                <w:szCs w:val="12"/>
              </w:rPr>
              <w:t>(12.9)</w:t>
            </w:r>
          </w:p>
        </w:tc>
        <w:tc>
          <w:tcPr>
            <w:tcW w:w="992" w:type="dxa"/>
            <w:tcBorders>
              <w:top w:val="nil"/>
              <w:bottom w:val="nil"/>
              <w:right w:val="single" w:sz="4" w:space="0" w:color="auto"/>
            </w:tcBorders>
            <w:shd w:val="clear" w:color="auto" w:fill="auto"/>
          </w:tcPr>
          <w:p w14:paraId="02E0973A"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r w:rsidRPr="00FE3AF9">
              <w:rPr>
                <w:rFonts w:asciiTheme="minorHAnsi" w:hAnsiTheme="minorHAnsi" w:cstheme="minorHAnsi"/>
                <w:b/>
                <w:bCs/>
                <w:color w:val="000000"/>
                <w:sz w:val="12"/>
                <w:szCs w:val="12"/>
              </w:rPr>
              <w:t>(5.1)</w:t>
            </w:r>
          </w:p>
        </w:tc>
        <w:tc>
          <w:tcPr>
            <w:tcW w:w="992" w:type="dxa"/>
            <w:tcBorders>
              <w:left w:val="single" w:sz="4" w:space="0" w:color="auto"/>
            </w:tcBorders>
            <w:shd w:val="clear" w:color="auto" w:fill="auto"/>
          </w:tcPr>
          <w:p w14:paraId="7D164B88"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r w:rsidRPr="00FE3AF9">
              <w:rPr>
                <w:rFonts w:asciiTheme="minorHAnsi" w:hAnsiTheme="minorHAnsi" w:cstheme="minorHAnsi"/>
                <w:b/>
                <w:bCs/>
                <w:color w:val="000000"/>
                <w:sz w:val="12"/>
                <w:szCs w:val="12"/>
              </w:rPr>
              <w:t>(10.5)</w:t>
            </w:r>
          </w:p>
        </w:tc>
        <w:tc>
          <w:tcPr>
            <w:tcW w:w="993" w:type="dxa"/>
            <w:shd w:val="clear" w:color="auto" w:fill="auto"/>
          </w:tcPr>
          <w:p w14:paraId="5B5C9AD7"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r w:rsidRPr="00FE3AF9">
              <w:rPr>
                <w:rFonts w:asciiTheme="minorHAnsi" w:hAnsiTheme="minorHAnsi" w:cstheme="minorHAnsi"/>
                <w:b/>
                <w:bCs/>
                <w:color w:val="000000"/>
                <w:sz w:val="12"/>
                <w:szCs w:val="12"/>
              </w:rPr>
              <w:t xml:space="preserve">9.7 </w:t>
            </w:r>
          </w:p>
        </w:tc>
        <w:tc>
          <w:tcPr>
            <w:tcW w:w="992" w:type="dxa"/>
            <w:shd w:val="clear" w:color="auto" w:fill="auto"/>
          </w:tcPr>
          <w:p w14:paraId="0AAD1362"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r w:rsidRPr="00FE3AF9">
              <w:rPr>
                <w:rFonts w:asciiTheme="minorHAnsi" w:hAnsiTheme="minorHAnsi" w:cstheme="minorHAnsi"/>
                <w:b/>
                <w:bCs/>
                <w:color w:val="000000"/>
                <w:sz w:val="12"/>
                <w:szCs w:val="12"/>
              </w:rPr>
              <w:t>(20.2)</w:t>
            </w:r>
          </w:p>
        </w:tc>
      </w:tr>
      <w:tr w:rsidR="0044035E" w:rsidRPr="00CA4A72" w14:paraId="06A2A35A" w14:textId="77777777" w:rsidTr="006A1A41">
        <w:trPr>
          <w:trHeight w:val="170"/>
        </w:trPr>
        <w:tc>
          <w:tcPr>
            <w:tcW w:w="3392" w:type="dxa"/>
            <w:tcBorders>
              <w:top w:val="nil"/>
              <w:bottom w:val="nil"/>
              <w:right w:val="single" w:sz="4" w:space="0" w:color="auto"/>
            </w:tcBorders>
            <w:shd w:val="clear" w:color="auto" w:fill="auto"/>
            <w:vAlign w:val="center"/>
            <w:hideMark/>
          </w:tcPr>
          <w:p w14:paraId="5BCD855B" w14:textId="77777777" w:rsidR="0044035E" w:rsidRPr="00CA4A72" w:rsidRDefault="0044035E" w:rsidP="006A1A41">
            <w:pPr>
              <w:rPr>
                <w:rFonts w:asciiTheme="minorHAnsi" w:eastAsia="Times New Roman" w:hAnsiTheme="minorHAnsi" w:cstheme="minorHAnsi"/>
                <w:b/>
                <w:bCs/>
                <w:sz w:val="12"/>
                <w:szCs w:val="14"/>
                <w:lang w:eastAsia="fr-FR"/>
              </w:rPr>
            </w:pPr>
            <w:r w:rsidRPr="00CA4A72">
              <w:rPr>
                <w:rFonts w:asciiTheme="minorHAnsi" w:hAnsiTheme="minorHAnsi" w:cstheme="minorHAnsi"/>
                <w:b/>
                <w:bCs/>
                <w:sz w:val="12"/>
                <w:szCs w:val="14"/>
              </w:rPr>
              <w:t> </w:t>
            </w:r>
          </w:p>
        </w:tc>
        <w:tc>
          <w:tcPr>
            <w:tcW w:w="998" w:type="dxa"/>
            <w:tcBorders>
              <w:top w:val="nil"/>
              <w:left w:val="single" w:sz="4" w:space="0" w:color="auto"/>
              <w:bottom w:val="single" w:sz="4" w:space="0" w:color="auto"/>
            </w:tcBorders>
            <w:shd w:val="clear" w:color="auto" w:fill="auto"/>
          </w:tcPr>
          <w:p w14:paraId="7681E918"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p>
        </w:tc>
        <w:tc>
          <w:tcPr>
            <w:tcW w:w="992" w:type="dxa"/>
            <w:tcBorders>
              <w:top w:val="nil"/>
              <w:bottom w:val="single" w:sz="4" w:space="0" w:color="auto"/>
            </w:tcBorders>
            <w:shd w:val="clear" w:color="auto" w:fill="auto"/>
          </w:tcPr>
          <w:p w14:paraId="70D83347"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p>
        </w:tc>
        <w:tc>
          <w:tcPr>
            <w:tcW w:w="992" w:type="dxa"/>
            <w:tcBorders>
              <w:top w:val="nil"/>
              <w:bottom w:val="single" w:sz="4" w:space="0" w:color="auto"/>
              <w:right w:val="single" w:sz="4" w:space="0" w:color="auto"/>
            </w:tcBorders>
            <w:shd w:val="clear" w:color="auto" w:fill="auto"/>
          </w:tcPr>
          <w:p w14:paraId="31342AD9"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p>
        </w:tc>
        <w:tc>
          <w:tcPr>
            <w:tcW w:w="992" w:type="dxa"/>
            <w:tcBorders>
              <w:left w:val="single" w:sz="4" w:space="0" w:color="auto"/>
              <w:bottom w:val="single" w:sz="4" w:space="0" w:color="auto"/>
            </w:tcBorders>
            <w:shd w:val="clear" w:color="auto" w:fill="auto"/>
          </w:tcPr>
          <w:p w14:paraId="395C8AA5"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p>
        </w:tc>
        <w:tc>
          <w:tcPr>
            <w:tcW w:w="993" w:type="dxa"/>
            <w:tcBorders>
              <w:bottom w:val="single" w:sz="4" w:space="0" w:color="auto"/>
            </w:tcBorders>
            <w:shd w:val="clear" w:color="auto" w:fill="auto"/>
          </w:tcPr>
          <w:p w14:paraId="2E3F9E2E"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p>
        </w:tc>
        <w:tc>
          <w:tcPr>
            <w:tcW w:w="992" w:type="dxa"/>
            <w:tcBorders>
              <w:bottom w:val="single" w:sz="4" w:space="0" w:color="auto"/>
            </w:tcBorders>
            <w:shd w:val="clear" w:color="auto" w:fill="auto"/>
          </w:tcPr>
          <w:p w14:paraId="59A41411"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p>
        </w:tc>
      </w:tr>
      <w:tr w:rsidR="0044035E" w:rsidRPr="00CA4A72" w14:paraId="78E32CEE" w14:textId="77777777" w:rsidTr="006A1A41">
        <w:trPr>
          <w:trHeight w:val="170"/>
        </w:trPr>
        <w:tc>
          <w:tcPr>
            <w:tcW w:w="3392" w:type="dxa"/>
            <w:tcBorders>
              <w:top w:val="nil"/>
              <w:bottom w:val="single" w:sz="4" w:space="0" w:color="auto"/>
              <w:right w:val="single" w:sz="4" w:space="0" w:color="auto"/>
            </w:tcBorders>
            <w:shd w:val="clear" w:color="auto" w:fill="auto"/>
            <w:vAlign w:val="center"/>
            <w:hideMark/>
          </w:tcPr>
          <w:p w14:paraId="286158A3" w14:textId="77777777" w:rsidR="0044035E" w:rsidRPr="00CA4A72" w:rsidRDefault="0044035E" w:rsidP="006A1A41">
            <w:pPr>
              <w:rPr>
                <w:rFonts w:asciiTheme="minorHAnsi" w:eastAsia="Times New Roman" w:hAnsiTheme="minorHAnsi" w:cstheme="minorHAnsi"/>
                <w:b/>
                <w:bCs/>
                <w:sz w:val="12"/>
                <w:szCs w:val="14"/>
                <w:lang w:eastAsia="fr-FR"/>
              </w:rPr>
            </w:pPr>
            <w:r w:rsidRPr="00CA4A72">
              <w:rPr>
                <w:rFonts w:asciiTheme="minorHAnsi" w:hAnsiTheme="minorHAnsi" w:cstheme="minorHAnsi"/>
                <w:b/>
                <w:bCs/>
                <w:sz w:val="12"/>
                <w:szCs w:val="14"/>
              </w:rPr>
              <w:t>Increase (decrease) in cash and cash equivalents</w:t>
            </w:r>
          </w:p>
        </w:tc>
        <w:tc>
          <w:tcPr>
            <w:tcW w:w="998" w:type="dxa"/>
            <w:tcBorders>
              <w:top w:val="single" w:sz="4" w:space="0" w:color="auto"/>
              <w:left w:val="single" w:sz="4" w:space="0" w:color="auto"/>
              <w:bottom w:val="single" w:sz="4" w:space="0" w:color="auto"/>
            </w:tcBorders>
            <w:shd w:val="clear" w:color="auto" w:fill="auto"/>
          </w:tcPr>
          <w:p w14:paraId="39922DBF"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r w:rsidRPr="00FE3AF9">
              <w:rPr>
                <w:rFonts w:asciiTheme="minorHAnsi" w:hAnsiTheme="minorHAnsi" w:cstheme="minorHAnsi"/>
                <w:b/>
                <w:bCs/>
                <w:color w:val="000000"/>
                <w:sz w:val="12"/>
                <w:szCs w:val="12"/>
              </w:rPr>
              <w:t xml:space="preserve">€ 156.1 </w:t>
            </w:r>
          </w:p>
        </w:tc>
        <w:tc>
          <w:tcPr>
            <w:tcW w:w="992" w:type="dxa"/>
            <w:tcBorders>
              <w:top w:val="single" w:sz="4" w:space="0" w:color="auto"/>
              <w:bottom w:val="single" w:sz="4" w:space="0" w:color="auto"/>
            </w:tcBorders>
            <w:shd w:val="clear" w:color="auto" w:fill="auto"/>
          </w:tcPr>
          <w:p w14:paraId="37F1CBA2"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r w:rsidRPr="00FE3AF9">
              <w:rPr>
                <w:rFonts w:asciiTheme="minorHAnsi" w:hAnsiTheme="minorHAnsi" w:cstheme="minorHAnsi"/>
                <w:b/>
                <w:bCs/>
                <w:color w:val="000000"/>
                <w:sz w:val="12"/>
                <w:szCs w:val="12"/>
              </w:rPr>
              <w:t xml:space="preserve">€ 196.8 </w:t>
            </w:r>
          </w:p>
        </w:tc>
        <w:tc>
          <w:tcPr>
            <w:tcW w:w="992" w:type="dxa"/>
            <w:tcBorders>
              <w:top w:val="single" w:sz="4" w:space="0" w:color="auto"/>
              <w:bottom w:val="single" w:sz="4" w:space="0" w:color="auto"/>
              <w:right w:val="single" w:sz="4" w:space="0" w:color="auto"/>
            </w:tcBorders>
            <w:shd w:val="clear" w:color="auto" w:fill="auto"/>
          </w:tcPr>
          <w:p w14:paraId="521DD81F"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r w:rsidRPr="00FE3AF9">
              <w:rPr>
                <w:rFonts w:asciiTheme="minorHAnsi" w:hAnsiTheme="minorHAnsi" w:cstheme="minorHAnsi"/>
                <w:b/>
                <w:bCs/>
                <w:color w:val="000000"/>
                <w:sz w:val="12"/>
                <w:szCs w:val="12"/>
              </w:rPr>
              <w:t>€ ( 40.7)</w:t>
            </w:r>
          </w:p>
        </w:tc>
        <w:tc>
          <w:tcPr>
            <w:tcW w:w="992" w:type="dxa"/>
            <w:tcBorders>
              <w:top w:val="single" w:sz="4" w:space="0" w:color="auto"/>
              <w:left w:val="single" w:sz="4" w:space="0" w:color="auto"/>
              <w:bottom w:val="single" w:sz="4" w:space="0" w:color="auto"/>
            </w:tcBorders>
            <w:shd w:val="clear" w:color="auto" w:fill="auto"/>
          </w:tcPr>
          <w:p w14:paraId="5DF90808"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r w:rsidRPr="00FE3AF9">
              <w:rPr>
                <w:rFonts w:asciiTheme="minorHAnsi" w:hAnsiTheme="minorHAnsi" w:cstheme="minorHAnsi"/>
                <w:b/>
                <w:bCs/>
                <w:color w:val="000000"/>
                <w:sz w:val="12"/>
                <w:szCs w:val="12"/>
              </w:rPr>
              <w:t xml:space="preserve">€ 454.8 </w:t>
            </w:r>
          </w:p>
        </w:tc>
        <w:tc>
          <w:tcPr>
            <w:tcW w:w="993" w:type="dxa"/>
            <w:tcBorders>
              <w:top w:val="single" w:sz="4" w:space="0" w:color="auto"/>
              <w:bottom w:val="single" w:sz="4" w:space="0" w:color="auto"/>
            </w:tcBorders>
            <w:shd w:val="clear" w:color="auto" w:fill="auto"/>
          </w:tcPr>
          <w:p w14:paraId="35B614E4"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r w:rsidRPr="00FE3AF9">
              <w:rPr>
                <w:rFonts w:asciiTheme="minorHAnsi" w:hAnsiTheme="minorHAnsi" w:cstheme="minorHAnsi"/>
                <w:b/>
                <w:bCs/>
                <w:color w:val="000000"/>
                <w:sz w:val="12"/>
                <w:szCs w:val="12"/>
              </w:rPr>
              <w:t xml:space="preserve">€ 283.5 </w:t>
            </w:r>
          </w:p>
        </w:tc>
        <w:tc>
          <w:tcPr>
            <w:tcW w:w="992" w:type="dxa"/>
            <w:tcBorders>
              <w:top w:val="single" w:sz="4" w:space="0" w:color="auto"/>
              <w:bottom w:val="single" w:sz="4" w:space="0" w:color="auto"/>
            </w:tcBorders>
            <w:shd w:val="clear" w:color="auto" w:fill="auto"/>
          </w:tcPr>
          <w:p w14:paraId="254C3D94"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r w:rsidRPr="00FE3AF9">
              <w:rPr>
                <w:rFonts w:asciiTheme="minorHAnsi" w:hAnsiTheme="minorHAnsi" w:cstheme="minorHAnsi"/>
                <w:b/>
                <w:bCs/>
                <w:color w:val="000000"/>
                <w:sz w:val="12"/>
                <w:szCs w:val="12"/>
              </w:rPr>
              <w:t xml:space="preserve">€ 171.3 </w:t>
            </w:r>
          </w:p>
        </w:tc>
      </w:tr>
      <w:tr w:rsidR="0044035E" w:rsidRPr="00CA4A72" w14:paraId="221EE1F8" w14:textId="77777777" w:rsidTr="006A1A41">
        <w:trPr>
          <w:trHeight w:val="170"/>
        </w:trPr>
        <w:tc>
          <w:tcPr>
            <w:tcW w:w="3392" w:type="dxa"/>
            <w:tcBorders>
              <w:top w:val="single" w:sz="4" w:space="0" w:color="auto"/>
              <w:left w:val="nil"/>
              <w:bottom w:val="single" w:sz="4" w:space="0" w:color="auto"/>
              <w:right w:val="nil"/>
            </w:tcBorders>
            <w:shd w:val="clear" w:color="auto" w:fill="auto"/>
            <w:vAlign w:val="bottom"/>
            <w:hideMark/>
          </w:tcPr>
          <w:p w14:paraId="3E3FA251" w14:textId="77777777" w:rsidR="0044035E" w:rsidRPr="00CA4A72" w:rsidRDefault="0044035E" w:rsidP="006A1A41">
            <w:pPr>
              <w:rPr>
                <w:rFonts w:asciiTheme="minorHAnsi" w:eastAsia="Times New Roman" w:hAnsiTheme="minorHAnsi" w:cstheme="minorHAnsi"/>
                <w:b/>
                <w:bCs/>
                <w:sz w:val="12"/>
                <w:szCs w:val="14"/>
                <w:lang w:eastAsia="fr-FR"/>
              </w:rPr>
            </w:pPr>
            <w:r w:rsidRPr="00CA4A72">
              <w:rPr>
                <w:rFonts w:asciiTheme="minorHAnsi" w:hAnsiTheme="minorHAnsi" w:cstheme="minorHAnsi"/>
                <w:b/>
                <w:bCs/>
                <w:sz w:val="12"/>
                <w:szCs w:val="14"/>
              </w:rPr>
              <w:t> </w:t>
            </w:r>
          </w:p>
        </w:tc>
        <w:tc>
          <w:tcPr>
            <w:tcW w:w="998" w:type="dxa"/>
            <w:tcBorders>
              <w:top w:val="single" w:sz="4" w:space="0" w:color="auto"/>
              <w:left w:val="nil"/>
              <w:bottom w:val="single" w:sz="4" w:space="0" w:color="auto"/>
            </w:tcBorders>
            <w:shd w:val="clear" w:color="auto" w:fill="auto"/>
            <w:vAlign w:val="center"/>
          </w:tcPr>
          <w:p w14:paraId="2A42E102" w14:textId="77777777" w:rsidR="0044035E" w:rsidRPr="00CA4A72" w:rsidRDefault="0044035E" w:rsidP="006A1A41">
            <w:pPr>
              <w:ind w:firstLineChars="100" w:firstLine="120"/>
              <w:jc w:val="right"/>
              <w:rPr>
                <w:rFonts w:asciiTheme="minorHAnsi" w:eastAsia="Times New Roman" w:hAnsiTheme="minorHAnsi" w:cstheme="minorHAnsi"/>
                <w:b/>
                <w:bCs/>
                <w:sz w:val="12"/>
                <w:szCs w:val="14"/>
                <w:lang w:eastAsia="fr-FR"/>
              </w:rPr>
            </w:pPr>
          </w:p>
        </w:tc>
        <w:tc>
          <w:tcPr>
            <w:tcW w:w="992" w:type="dxa"/>
            <w:tcBorders>
              <w:top w:val="single" w:sz="4" w:space="0" w:color="auto"/>
              <w:bottom w:val="single" w:sz="4" w:space="0" w:color="auto"/>
            </w:tcBorders>
            <w:shd w:val="clear" w:color="auto" w:fill="auto"/>
            <w:vAlign w:val="center"/>
          </w:tcPr>
          <w:p w14:paraId="62BECC90" w14:textId="77777777" w:rsidR="0044035E" w:rsidRPr="00CA4A72" w:rsidRDefault="0044035E" w:rsidP="006A1A41">
            <w:pPr>
              <w:ind w:firstLineChars="100" w:firstLine="120"/>
              <w:jc w:val="right"/>
              <w:rPr>
                <w:rFonts w:asciiTheme="minorHAnsi" w:eastAsia="Times New Roman" w:hAnsiTheme="minorHAnsi" w:cstheme="minorHAnsi"/>
                <w:b/>
                <w:bCs/>
                <w:sz w:val="12"/>
                <w:szCs w:val="14"/>
                <w:lang w:eastAsia="fr-FR"/>
              </w:rPr>
            </w:pPr>
          </w:p>
        </w:tc>
        <w:tc>
          <w:tcPr>
            <w:tcW w:w="992" w:type="dxa"/>
            <w:tcBorders>
              <w:top w:val="single" w:sz="4" w:space="0" w:color="auto"/>
              <w:bottom w:val="single" w:sz="4" w:space="0" w:color="auto"/>
              <w:right w:val="nil"/>
            </w:tcBorders>
            <w:shd w:val="clear" w:color="auto" w:fill="auto"/>
            <w:vAlign w:val="center"/>
          </w:tcPr>
          <w:p w14:paraId="4CBA8B0D" w14:textId="77777777" w:rsidR="0044035E" w:rsidRPr="00CA4A72" w:rsidRDefault="0044035E" w:rsidP="006A1A41">
            <w:pPr>
              <w:ind w:firstLineChars="100" w:firstLine="120"/>
              <w:jc w:val="right"/>
              <w:rPr>
                <w:rFonts w:asciiTheme="minorHAnsi" w:eastAsia="Times New Roman" w:hAnsiTheme="minorHAnsi" w:cstheme="minorHAnsi"/>
                <w:b/>
                <w:bCs/>
                <w:sz w:val="12"/>
                <w:szCs w:val="14"/>
                <w:lang w:eastAsia="fr-FR"/>
              </w:rPr>
            </w:pPr>
          </w:p>
        </w:tc>
        <w:tc>
          <w:tcPr>
            <w:tcW w:w="992" w:type="dxa"/>
            <w:tcBorders>
              <w:top w:val="single" w:sz="4" w:space="0" w:color="auto"/>
              <w:left w:val="nil"/>
              <w:bottom w:val="single" w:sz="4" w:space="0" w:color="auto"/>
            </w:tcBorders>
            <w:shd w:val="clear" w:color="auto" w:fill="auto"/>
            <w:vAlign w:val="center"/>
          </w:tcPr>
          <w:p w14:paraId="2B754A4A" w14:textId="77777777" w:rsidR="0044035E" w:rsidRPr="00CA4A72" w:rsidRDefault="0044035E" w:rsidP="006A1A41">
            <w:pPr>
              <w:ind w:firstLineChars="100" w:firstLine="120"/>
              <w:jc w:val="right"/>
              <w:rPr>
                <w:rFonts w:asciiTheme="minorHAnsi" w:eastAsia="Times New Roman" w:hAnsiTheme="minorHAnsi" w:cstheme="minorHAnsi"/>
                <w:b/>
                <w:bCs/>
                <w:sz w:val="12"/>
                <w:szCs w:val="14"/>
                <w:lang w:eastAsia="fr-FR"/>
              </w:rPr>
            </w:pPr>
          </w:p>
        </w:tc>
        <w:tc>
          <w:tcPr>
            <w:tcW w:w="993" w:type="dxa"/>
            <w:tcBorders>
              <w:top w:val="single" w:sz="4" w:space="0" w:color="auto"/>
              <w:bottom w:val="single" w:sz="4" w:space="0" w:color="auto"/>
            </w:tcBorders>
            <w:shd w:val="clear" w:color="auto" w:fill="auto"/>
            <w:vAlign w:val="center"/>
          </w:tcPr>
          <w:p w14:paraId="4DAFC72F" w14:textId="77777777" w:rsidR="0044035E" w:rsidRPr="00CA4A72" w:rsidRDefault="0044035E" w:rsidP="006A1A41">
            <w:pPr>
              <w:ind w:firstLineChars="100" w:firstLine="120"/>
              <w:jc w:val="right"/>
              <w:rPr>
                <w:rFonts w:asciiTheme="minorHAnsi" w:eastAsia="Times New Roman" w:hAnsiTheme="minorHAnsi" w:cstheme="minorHAnsi"/>
                <w:b/>
                <w:bCs/>
                <w:sz w:val="12"/>
                <w:szCs w:val="14"/>
                <w:lang w:eastAsia="fr-FR"/>
              </w:rPr>
            </w:pPr>
          </w:p>
        </w:tc>
        <w:tc>
          <w:tcPr>
            <w:tcW w:w="992" w:type="dxa"/>
            <w:tcBorders>
              <w:top w:val="single" w:sz="4" w:space="0" w:color="auto"/>
              <w:bottom w:val="single" w:sz="4" w:space="0" w:color="auto"/>
              <w:right w:val="nil"/>
            </w:tcBorders>
            <w:shd w:val="clear" w:color="auto" w:fill="auto"/>
            <w:vAlign w:val="center"/>
          </w:tcPr>
          <w:p w14:paraId="6B7928CB" w14:textId="77777777" w:rsidR="0044035E" w:rsidRPr="00CA4A72" w:rsidRDefault="0044035E" w:rsidP="006A1A41">
            <w:pPr>
              <w:ind w:firstLineChars="100" w:firstLine="120"/>
              <w:jc w:val="right"/>
              <w:rPr>
                <w:rFonts w:asciiTheme="minorHAnsi" w:eastAsia="Times New Roman" w:hAnsiTheme="minorHAnsi" w:cstheme="minorHAnsi"/>
                <w:b/>
                <w:bCs/>
                <w:sz w:val="12"/>
                <w:szCs w:val="14"/>
                <w:lang w:eastAsia="fr-FR"/>
              </w:rPr>
            </w:pPr>
          </w:p>
        </w:tc>
      </w:tr>
      <w:tr w:rsidR="0044035E" w:rsidRPr="00CA4A72" w14:paraId="2010DFBC" w14:textId="77777777" w:rsidTr="006A1A41">
        <w:trPr>
          <w:trHeight w:val="170"/>
        </w:trPr>
        <w:tc>
          <w:tcPr>
            <w:tcW w:w="3392" w:type="dxa"/>
            <w:tcBorders>
              <w:top w:val="single" w:sz="4" w:space="0" w:color="auto"/>
              <w:bottom w:val="nil"/>
              <w:right w:val="single" w:sz="4" w:space="0" w:color="auto"/>
            </w:tcBorders>
            <w:shd w:val="clear" w:color="auto" w:fill="auto"/>
            <w:vAlign w:val="center"/>
            <w:hideMark/>
          </w:tcPr>
          <w:p w14:paraId="15CFA211" w14:textId="77777777" w:rsidR="0044035E" w:rsidRPr="00CA4A72" w:rsidRDefault="0044035E" w:rsidP="006A1A41">
            <w:pPr>
              <w:rPr>
                <w:rFonts w:asciiTheme="minorHAnsi" w:eastAsia="Times New Roman" w:hAnsiTheme="minorHAnsi" w:cstheme="minorHAnsi"/>
                <w:b/>
                <w:bCs/>
                <w:sz w:val="12"/>
                <w:szCs w:val="14"/>
                <w:lang w:eastAsia="fr-FR"/>
              </w:rPr>
            </w:pPr>
            <w:r w:rsidRPr="00CA4A72">
              <w:rPr>
                <w:rFonts w:asciiTheme="minorHAnsi" w:hAnsiTheme="minorHAnsi" w:cstheme="minorHAnsi"/>
                <w:b/>
                <w:bCs/>
                <w:sz w:val="12"/>
                <w:szCs w:val="14"/>
              </w:rPr>
              <w:t>Cash and cash equivalents at beginning of period</w:t>
            </w:r>
          </w:p>
        </w:tc>
        <w:tc>
          <w:tcPr>
            <w:tcW w:w="998" w:type="dxa"/>
            <w:tcBorders>
              <w:top w:val="single" w:sz="4" w:space="0" w:color="auto"/>
              <w:left w:val="single" w:sz="4" w:space="0" w:color="auto"/>
              <w:bottom w:val="nil"/>
            </w:tcBorders>
            <w:shd w:val="clear" w:color="auto" w:fill="auto"/>
          </w:tcPr>
          <w:p w14:paraId="598917C7"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r w:rsidRPr="00FE3AF9">
              <w:rPr>
                <w:rFonts w:asciiTheme="minorHAnsi" w:hAnsiTheme="minorHAnsi" w:cstheme="minorHAnsi"/>
                <w:b/>
                <w:bCs/>
                <w:color w:val="000000"/>
                <w:sz w:val="12"/>
                <w:szCs w:val="12"/>
              </w:rPr>
              <w:t xml:space="preserve">€ 2,243.5 </w:t>
            </w:r>
          </w:p>
        </w:tc>
        <w:tc>
          <w:tcPr>
            <w:tcW w:w="992" w:type="dxa"/>
            <w:tcBorders>
              <w:top w:val="single" w:sz="4" w:space="0" w:color="auto"/>
              <w:bottom w:val="nil"/>
            </w:tcBorders>
            <w:shd w:val="clear" w:color="auto" w:fill="auto"/>
          </w:tcPr>
          <w:p w14:paraId="7B621092" w14:textId="77777777" w:rsidR="0044035E" w:rsidRPr="00FE3AF9" w:rsidRDefault="0044035E" w:rsidP="006A1A41">
            <w:pPr>
              <w:ind w:firstLineChars="100" w:firstLine="120"/>
              <w:jc w:val="right"/>
              <w:rPr>
                <w:rFonts w:asciiTheme="minorHAnsi" w:eastAsia="Times New Roman" w:hAnsiTheme="minorHAnsi" w:cstheme="minorHAnsi"/>
                <w:b/>
                <w:bCs/>
                <w:sz w:val="12"/>
                <w:szCs w:val="12"/>
                <w:lang w:eastAsia="fr-FR"/>
              </w:rPr>
            </w:pPr>
            <w:r w:rsidRPr="00FE3AF9">
              <w:rPr>
                <w:rFonts w:asciiTheme="minorHAnsi" w:hAnsiTheme="minorHAnsi" w:cstheme="minorHAnsi"/>
                <w:b/>
                <w:bCs/>
                <w:color w:val="000000"/>
                <w:sz w:val="12"/>
                <w:szCs w:val="12"/>
              </w:rPr>
              <w:t xml:space="preserve">€ 2,896.0 </w:t>
            </w:r>
          </w:p>
        </w:tc>
        <w:tc>
          <w:tcPr>
            <w:tcW w:w="992" w:type="dxa"/>
            <w:tcBorders>
              <w:top w:val="single" w:sz="4" w:space="0" w:color="auto"/>
              <w:bottom w:val="nil"/>
              <w:right w:val="single" w:sz="4" w:space="0" w:color="auto"/>
            </w:tcBorders>
            <w:shd w:val="clear" w:color="auto" w:fill="auto"/>
            <w:vAlign w:val="center"/>
          </w:tcPr>
          <w:p w14:paraId="7C22A4BA" w14:textId="77777777" w:rsidR="0044035E" w:rsidRPr="00CA4A72" w:rsidRDefault="0044035E" w:rsidP="006A1A41">
            <w:pPr>
              <w:ind w:firstLineChars="100" w:firstLine="120"/>
              <w:jc w:val="right"/>
              <w:rPr>
                <w:rFonts w:asciiTheme="minorHAnsi" w:eastAsia="Times New Roman" w:hAnsiTheme="minorHAnsi" w:cstheme="minorHAnsi"/>
                <w:b/>
                <w:bCs/>
                <w:sz w:val="12"/>
                <w:szCs w:val="12"/>
                <w:lang w:eastAsia="fr-FR"/>
              </w:rPr>
            </w:pPr>
          </w:p>
        </w:tc>
        <w:tc>
          <w:tcPr>
            <w:tcW w:w="992" w:type="dxa"/>
            <w:tcBorders>
              <w:top w:val="single" w:sz="4" w:space="0" w:color="auto"/>
              <w:left w:val="single" w:sz="4" w:space="0" w:color="auto"/>
            </w:tcBorders>
            <w:shd w:val="clear" w:color="auto" w:fill="auto"/>
          </w:tcPr>
          <w:p w14:paraId="58165ECB" w14:textId="77777777" w:rsidR="0044035E" w:rsidRPr="00034F97" w:rsidRDefault="0044035E" w:rsidP="006A1A41">
            <w:pPr>
              <w:ind w:firstLineChars="100" w:firstLine="120"/>
              <w:jc w:val="right"/>
              <w:rPr>
                <w:rFonts w:asciiTheme="minorHAnsi" w:eastAsia="Times New Roman" w:hAnsiTheme="minorHAnsi" w:cstheme="minorHAnsi"/>
                <w:b/>
                <w:bCs/>
                <w:sz w:val="12"/>
                <w:szCs w:val="12"/>
                <w:lang w:eastAsia="fr-FR"/>
              </w:rPr>
            </w:pPr>
            <w:r w:rsidRPr="00034F97">
              <w:rPr>
                <w:rFonts w:asciiTheme="minorHAnsi" w:hAnsiTheme="minorHAnsi" w:cstheme="minorHAnsi"/>
                <w:b/>
                <w:bCs/>
                <w:color w:val="000000"/>
                <w:sz w:val="12"/>
                <w:szCs w:val="12"/>
              </w:rPr>
              <w:t xml:space="preserve">€ 1,944.9 </w:t>
            </w:r>
          </w:p>
        </w:tc>
        <w:tc>
          <w:tcPr>
            <w:tcW w:w="993" w:type="dxa"/>
            <w:tcBorders>
              <w:top w:val="single" w:sz="4" w:space="0" w:color="auto"/>
            </w:tcBorders>
            <w:shd w:val="clear" w:color="auto" w:fill="auto"/>
          </w:tcPr>
          <w:p w14:paraId="6D3F68E3" w14:textId="77777777" w:rsidR="0044035E" w:rsidRPr="00034F97" w:rsidRDefault="0044035E" w:rsidP="006A1A41">
            <w:pPr>
              <w:ind w:firstLineChars="100" w:firstLine="120"/>
              <w:jc w:val="right"/>
              <w:rPr>
                <w:rFonts w:asciiTheme="minorHAnsi" w:eastAsia="Times New Roman" w:hAnsiTheme="minorHAnsi" w:cstheme="minorHAnsi"/>
                <w:b/>
                <w:bCs/>
                <w:sz w:val="12"/>
                <w:szCs w:val="12"/>
                <w:lang w:eastAsia="fr-FR"/>
              </w:rPr>
            </w:pPr>
            <w:r w:rsidRPr="00034F97">
              <w:rPr>
                <w:rFonts w:asciiTheme="minorHAnsi" w:hAnsiTheme="minorHAnsi" w:cstheme="minorHAnsi"/>
                <w:b/>
                <w:bCs/>
                <w:color w:val="000000"/>
                <w:sz w:val="12"/>
                <w:szCs w:val="12"/>
              </w:rPr>
              <w:t xml:space="preserve">€ 2,809.3 </w:t>
            </w:r>
          </w:p>
        </w:tc>
        <w:tc>
          <w:tcPr>
            <w:tcW w:w="992" w:type="dxa"/>
            <w:tcBorders>
              <w:top w:val="single" w:sz="4" w:space="0" w:color="auto"/>
            </w:tcBorders>
            <w:shd w:val="clear" w:color="auto" w:fill="auto"/>
            <w:vAlign w:val="center"/>
          </w:tcPr>
          <w:p w14:paraId="34A7AFD2" w14:textId="77777777" w:rsidR="0044035E" w:rsidRPr="00CA4A72" w:rsidRDefault="0044035E" w:rsidP="006A1A41">
            <w:pPr>
              <w:ind w:firstLineChars="100" w:firstLine="120"/>
              <w:jc w:val="right"/>
              <w:rPr>
                <w:rFonts w:asciiTheme="minorHAnsi" w:eastAsia="Times New Roman" w:hAnsiTheme="minorHAnsi" w:cstheme="minorHAnsi"/>
                <w:b/>
                <w:bCs/>
                <w:sz w:val="12"/>
                <w:szCs w:val="12"/>
                <w:lang w:eastAsia="fr-FR"/>
              </w:rPr>
            </w:pPr>
          </w:p>
        </w:tc>
      </w:tr>
      <w:tr w:rsidR="0044035E" w:rsidRPr="00CA4A72" w14:paraId="275714BD" w14:textId="77777777" w:rsidTr="006A1A41">
        <w:trPr>
          <w:trHeight w:val="170"/>
        </w:trPr>
        <w:tc>
          <w:tcPr>
            <w:tcW w:w="3392" w:type="dxa"/>
            <w:tcBorders>
              <w:top w:val="nil"/>
              <w:bottom w:val="single" w:sz="4" w:space="0" w:color="auto"/>
              <w:right w:val="single" w:sz="4" w:space="0" w:color="auto"/>
            </w:tcBorders>
            <w:shd w:val="clear" w:color="auto" w:fill="auto"/>
            <w:vAlign w:val="center"/>
            <w:hideMark/>
          </w:tcPr>
          <w:p w14:paraId="4263FDF9" w14:textId="77777777" w:rsidR="0044035E" w:rsidRPr="00CA4A72" w:rsidRDefault="0044035E" w:rsidP="006A1A41">
            <w:pPr>
              <w:rPr>
                <w:rFonts w:asciiTheme="minorHAnsi" w:eastAsia="Times New Roman" w:hAnsiTheme="minorHAnsi" w:cstheme="minorHAnsi"/>
                <w:b/>
                <w:bCs/>
                <w:sz w:val="12"/>
                <w:szCs w:val="14"/>
                <w:lang w:eastAsia="fr-FR"/>
              </w:rPr>
            </w:pPr>
            <w:r w:rsidRPr="00CA4A72">
              <w:rPr>
                <w:rFonts w:asciiTheme="minorHAnsi" w:hAnsiTheme="minorHAnsi" w:cstheme="minorHAnsi"/>
                <w:b/>
                <w:bCs/>
                <w:sz w:val="12"/>
                <w:szCs w:val="14"/>
              </w:rPr>
              <w:t>Cash and cash equivalents at end of period</w:t>
            </w:r>
          </w:p>
        </w:tc>
        <w:tc>
          <w:tcPr>
            <w:tcW w:w="998" w:type="dxa"/>
            <w:tcBorders>
              <w:top w:val="nil"/>
              <w:left w:val="single" w:sz="4" w:space="0" w:color="auto"/>
            </w:tcBorders>
            <w:shd w:val="clear" w:color="auto" w:fill="auto"/>
          </w:tcPr>
          <w:p w14:paraId="111308A9" w14:textId="77777777" w:rsidR="0044035E" w:rsidRPr="00FE3AF9" w:rsidRDefault="0044035E" w:rsidP="006A1A41">
            <w:pPr>
              <w:ind w:firstLineChars="100" w:firstLine="120"/>
              <w:jc w:val="right"/>
              <w:rPr>
                <w:rFonts w:asciiTheme="minorHAnsi" w:hAnsiTheme="minorHAnsi" w:cstheme="minorHAnsi"/>
                <w:b/>
                <w:bCs/>
                <w:sz w:val="12"/>
                <w:szCs w:val="12"/>
              </w:rPr>
            </w:pPr>
            <w:r w:rsidRPr="00FE3AF9">
              <w:rPr>
                <w:rFonts w:asciiTheme="minorHAnsi" w:hAnsiTheme="minorHAnsi" w:cstheme="minorHAnsi"/>
                <w:b/>
                <w:bCs/>
                <w:color w:val="000000"/>
                <w:sz w:val="12"/>
                <w:szCs w:val="12"/>
              </w:rPr>
              <w:t xml:space="preserve">€ 2,399.7 </w:t>
            </w:r>
          </w:p>
        </w:tc>
        <w:tc>
          <w:tcPr>
            <w:tcW w:w="992" w:type="dxa"/>
            <w:tcBorders>
              <w:top w:val="nil"/>
            </w:tcBorders>
            <w:shd w:val="clear" w:color="auto" w:fill="auto"/>
          </w:tcPr>
          <w:p w14:paraId="223FEEA6" w14:textId="77777777" w:rsidR="0044035E" w:rsidRPr="00FE3AF9" w:rsidRDefault="0044035E" w:rsidP="006A1A41">
            <w:pPr>
              <w:ind w:firstLineChars="100" w:firstLine="120"/>
              <w:jc w:val="right"/>
              <w:rPr>
                <w:rFonts w:asciiTheme="minorHAnsi" w:hAnsiTheme="minorHAnsi" w:cstheme="minorHAnsi"/>
                <w:b/>
                <w:bCs/>
                <w:sz w:val="12"/>
                <w:szCs w:val="12"/>
              </w:rPr>
            </w:pPr>
            <w:r w:rsidRPr="00FE3AF9">
              <w:rPr>
                <w:rFonts w:asciiTheme="minorHAnsi" w:hAnsiTheme="minorHAnsi" w:cstheme="minorHAnsi"/>
                <w:b/>
                <w:bCs/>
                <w:color w:val="000000"/>
                <w:sz w:val="12"/>
                <w:szCs w:val="12"/>
              </w:rPr>
              <w:t xml:space="preserve">€ 3,092.8 </w:t>
            </w:r>
          </w:p>
        </w:tc>
        <w:tc>
          <w:tcPr>
            <w:tcW w:w="992" w:type="dxa"/>
            <w:tcBorders>
              <w:top w:val="nil"/>
              <w:bottom w:val="single" w:sz="4" w:space="0" w:color="auto"/>
              <w:right w:val="single" w:sz="4" w:space="0" w:color="auto"/>
            </w:tcBorders>
            <w:shd w:val="clear" w:color="auto" w:fill="auto"/>
            <w:vAlign w:val="center"/>
          </w:tcPr>
          <w:p w14:paraId="09B31313" w14:textId="77777777" w:rsidR="0044035E" w:rsidRPr="00CA4A72" w:rsidRDefault="0044035E" w:rsidP="006A1A41">
            <w:pPr>
              <w:ind w:firstLineChars="100" w:firstLine="120"/>
              <w:jc w:val="right"/>
              <w:rPr>
                <w:rFonts w:asciiTheme="minorHAnsi" w:hAnsiTheme="minorHAnsi" w:cstheme="minorHAnsi"/>
                <w:b/>
                <w:bCs/>
                <w:sz w:val="12"/>
                <w:szCs w:val="12"/>
              </w:rPr>
            </w:pPr>
          </w:p>
        </w:tc>
        <w:tc>
          <w:tcPr>
            <w:tcW w:w="992" w:type="dxa"/>
            <w:tcBorders>
              <w:left w:val="single" w:sz="4" w:space="0" w:color="auto"/>
            </w:tcBorders>
            <w:shd w:val="clear" w:color="auto" w:fill="auto"/>
          </w:tcPr>
          <w:p w14:paraId="35EF7F4B" w14:textId="77777777" w:rsidR="0044035E" w:rsidRPr="00034F97" w:rsidRDefault="0044035E" w:rsidP="006A1A41">
            <w:pPr>
              <w:ind w:firstLineChars="100" w:firstLine="120"/>
              <w:jc w:val="right"/>
              <w:rPr>
                <w:rFonts w:asciiTheme="minorHAnsi" w:hAnsiTheme="minorHAnsi" w:cstheme="minorHAnsi"/>
                <w:b/>
                <w:bCs/>
                <w:sz w:val="12"/>
                <w:szCs w:val="12"/>
              </w:rPr>
            </w:pPr>
            <w:r w:rsidRPr="00034F97">
              <w:rPr>
                <w:rFonts w:asciiTheme="minorHAnsi" w:hAnsiTheme="minorHAnsi" w:cstheme="minorHAnsi"/>
                <w:b/>
                <w:bCs/>
                <w:color w:val="000000"/>
                <w:sz w:val="12"/>
                <w:szCs w:val="12"/>
              </w:rPr>
              <w:t xml:space="preserve">€ 2,399.7 </w:t>
            </w:r>
          </w:p>
        </w:tc>
        <w:tc>
          <w:tcPr>
            <w:tcW w:w="993" w:type="dxa"/>
            <w:shd w:val="clear" w:color="auto" w:fill="auto"/>
          </w:tcPr>
          <w:p w14:paraId="3FF32D59" w14:textId="77777777" w:rsidR="0044035E" w:rsidRPr="00034F97" w:rsidRDefault="0044035E" w:rsidP="006A1A41">
            <w:pPr>
              <w:ind w:firstLineChars="100" w:firstLine="120"/>
              <w:jc w:val="right"/>
              <w:rPr>
                <w:rFonts w:asciiTheme="minorHAnsi" w:hAnsiTheme="minorHAnsi" w:cstheme="minorHAnsi"/>
                <w:b/>
                <w:bCs/>
                <w:sz w:val="12"/>
                <w:szCs w:val="12"/>
              </w:rPr>
            </w:pPr>
            <w:r w:rsidRPr="00034F97">
              <w:rPr>
                <w:rFonts w:asciiTheme="minorHAnsi" w:hAnsiTheme="minorHAnsi" w:cstheme="minorHAnsi"/>
                <w:b/>
                <w:bCs/>
                <w:color w:val="000000"/>
                <w:sz w:val="12"/>
                <w:szCs w:val="12"/>
              </w:rPr>
              <w:t xml:space="preserve">€ 3,092.8 </w:t>
            </w:r>
          </w:p>
        </w:tc>
        <w:tc>
          <w:tcPr>
            <w:tcW w:w="992" w:type="dxa"/>
            <w:shd w:val="clear" w:color="auto" w:fill="auto"/>
            <w:vAlign w:val="center"/>
          </w:tcPr>
          <w:p w14:paraId="6F1F85A6" w14:textId="77777777" w:rsidR="0044035E" w:rsidRPr="00CA4A72" w:rsidRDefault="0044035E" w:rsidP="006A1A41">
            <w:pPr>
              <w:ind w:firstLineChars="100" w:firstLine="120"/>
              <w:jc w:val="right"/>
              <w:rPr>
                <w:rFonts w:asciiTheme="minorHAnsi" w:hAnsiTheme="minorHAnsi" w:cstheme="minorHAnsi"/>
                <w:b/>
                <w:bCs/>
                <w:sz w:val="12"/>
                <w:szCs w:val="12"/>
              </w:rPr>
            </w:pPr>
          </w:p>
        </w:tc>
      </w:tr>
    </w:tbl>
    <w:p w14:paraId="52C34BA2" w14:textId="77777777" w:rsidR="0044035E" w:rsidRPr="00CA4A72" w:rsidRDefault="0044035E" w:rsidP="0044035E">
      <w:pPr>
        <w:spacing w:after="200" w:line="276" w:lineRule="auto"/>
        <w:jc w:val="center"/>
        <w:rPr>
          <w:rFonts w:asciiTheme="minorHAnsi" w:hAnsiTheme="minorHAnsi" w:cstheme="minorHAnsi"/>
          <w:b/>
          <w:bCs/>
          <w:color w:val="000000"/>
        </w:rPr>
      </w:pPr>
    </w:p>
    <w:p w14:paraId="29396FCD" w14:textId="77777777" w:rsidR="0044035E" w:rsidRPr="00CA4A72" w:rsidRDefault="0044035E" w:rsidP="0044035E">
      <w:pPr>
        <w:spacing w:after="200" w:line="276" w:lineRule="auto"/>
        <w:rPr>
          <w:rFonts w:asciiTheme="minorHAnsi" w:hAnsiTheme="minorHAnsi" w:cstheme="minorHAnsi"/>
          <w:b/>
          <w:bCs/>
          <w:color w:val="000000"/>
        </w:rPr>
      </w:pPr>
    </w:p>
    <w:p w14:paraId="1B82DF2C" w14:textId="77777777" w:rsidR="0044035E" w:rsidRPr="00CA4A72" w:rsidRDefault="0044035E" w:rsidP="0044035E">
      <w:pPr>
        <w:spacing w:after="200" w:line="276" w:lineRule="auto"/>
        <w:rPr>
          <w:rFonts w:asciiTheme="minorHAnsi" w:hAnsiTheme="minorHAnsi" w:cstheme="minorHAnsi"/>
          <w:b/>
          <w:bCs/>
          <w:color w:val="000000"/>
        </w:rPr>
      </w:pPr>
      <w:r w:rsidRPr="00CA4A72">
        <w:rPr>
          <w:rFonts w:asciiTheme="minorHAnsi" w:hAnsiTheme="minorHAnsi" w:cstheme="minorHAnsi"/>
          <w:b/>
          <w:bCs/>
          <w:color w:val="000000"/>
        </w:rPr>
        <w:br w:type="page"/>
      </w:r>
    </w:p>
    <w:p w14:paraId="06B84A58" w14:textId="77777777" w:rsidR="0044035E" w:rsidRPr="008A197B" w:rsidRDefault="0044035E" w:rsidP="0044035E">
      <w:pPr>
        <w:autoSpaceDE w:val="0"/>
        <w:autoSpaceDN w:val="0"/>
        <w:adjustRightInd w:val="0"/>
        <w:ind w:right="-113"/>
        <w:jc w:val="center"/>
        <w:rPr>
          <w:rFonts w:asciiTheme="minorHAnsi" w:hAnsiTheme="minorHAnsi" w:cstheme="minorHAnsi"/>
          <w:b/>
          <w:bCs/>
          <w:color w:val="000000"/>
          <w:lang w:val="fr-FR"/>
        </w:rPr>
      </w:pPr>
      <w:r w:rsidRPr="008A197B">
        <w:rPr>
          <w:rFonts w:asciiTheme="minorHAnsi" w:hAnsiTheme="minorHAnsi" w:cstheme="minorHAnsi"/>
          <w:b/>
          <w:bCs/>
          <w:color w:val="000000"/>
          <w:lang w:val="fr-FR"/>
        </w:rPr>
        <w:t>DASSAULT SYSTEMES</w:t>
      </w:r>
    </w:p>
    <w:p w14:paraId="6708BDA6" w14:textId="77777777" w:rsidR="0044035E" w:rsidRPr="008A197B" w:rsidRDefault="0044035E" w:rsidP="0044035E">
      <w:pPr>
        <w:autoSpaceDE w:val="0"/>
        <w:autoSpaceDN w:val="0"/>
        <w:adjustRightInd w:val="0"/>
        <w:ind w:right="-113"/>
        <w:jc w:val="center"/>
        <w:rPr>
          <w:rFonts w:asciiTheme="minorHAnsi" w:hAnsiTheme="minorHAnsi" w:cstheme="minorHAnsi"/>
          <w:b/>
          <w:bCs/>
          <w:color w:val="000000"/>
          <w:lang w:val="fr-FR"/>
        </w:rPr>
      </w:pPr>
      <w:r w:rsidRPr="008A197B">
        <w:rPr>
          <w:rFonts w:asciiTheme="minorHAnsi" w:hAnsiTheme="minorHAnsi" w:cstheme="minorHAnsi"/>
          <w:b/>
          <w:bCs/>
          <w:color w:val="000000"/>
          <w:lang w:val="fr-FR"/>
        </w:rPr>
        <w:t>SUPPLEMENTAL NON-IFRS FINANCIAL INFORMATION</w:t>
      </w:r>
    </w:p>
    <w:p w14:paraId="55608589" w14:textId="77777777" w:rsidR="0044035E" w:rsidRPr="008A197B" w:rsidRDefault="0044035E" w:rsidP="0044035E">
      <w:pPr>
        <w:autoSpaceDE w:val="0"/>
        <w:autoSpaceDN w:val="0"/>
        <w:adjustRightInd w:val="0"/>
        <w:ind w:right="-113"/>
        <w:jc w:val="center"/>
        <w:rPr>
          <w:rFonts w:asciiTheme="minorHAnsi" w:hAnsiTheme="minorHAnsi" w:cstheme="minorHAnsi"/>
          <w:b/>
          <w:bCs/>
          <w:color w:val="000000"/>
          <w:lang w:val="fr-FR"/>
        </w:rPr>
      </w:pPr>
      <w:r w:rsidRPr="008A197B">
        <w:rPr>
          <w:rFonts w:asciiTheme="minorHAnsi" w:hAnsiTheme="minorHAnsi" w:cstheme="minorHAnsi"/>
          <w:b/>
          <w:bCs/>
          <w:color w:val="000000"/>
          <w:lang w:val="fr-FR"/>
        </w:rPr>
        <w:t>IFRS – NON-IFRS RECONCILIATION</w:t>
      </w:r>
    </w:p>
    <w:p w14:paraId="72EFB8C0" w14:textId="77777777" w:rsidR="0044035E" w:rsidRPr="00CA4A72" w:rsidRDefault="0044035E" w:rsidP="0044035E">
      <w:pPr>
        <w:ind w:right="-113"/>
        <w:jc w:val="center"/>
        <w:rPr>
          <w:rFonts w:asciiTheme="minorHAnsi" w:hAnsiTheme="minorHAnsi" w:cstheme="minorHAnsi"/>
          <w:sz w:val="20"/>
          <w:szCs w:val="20"/>
        </w:rPr>
      </w:pPr>
      <w:r w:rsidRPr="00CA4A72">
        <w:rPr>
          <w:rFonts w:asciiTheme="minorHAnsi" w:hAnsiTheme="minorHAnsi" w:cstheme="minorHAnsi"/>
          <w:sz w:val="20"/>
          <w:szCs w:val="20"/>
        </w:rPr>
        <w:t>(</w:t>
      </w:r>
      <w:proofErr w:type="gramStart"/>
      <w:r w:rsidRPr="00CA4A72">
        <w:rPr>
          <w:rFonts w:asciiTheme="minorHAnsi" w:hAnsiTheme="minorHAnsi" w:cstheme="minorHAnsi"/>
          <w:sz w:val="20"/>
          <w:szCs w:val="20"/>
        </w:rPr>
        <w:t>unaudited</w:t>
      </w:r>
      <w:proofErr w:type="gramEnd"/>
      <w:r w:rsidRPr="00CA4A72">
        <w:rPr>
          <w:rFonts w:asciiTheme="minorHAnsi" w:hAnsiTheme="minorHAnsi" w:cstheme="minorHAnsi"/>
          <w:sz w:val="20"/>
          <w:szCs w:val="20"/>
        </w:rPr>
        <w:t>; in millions of Euros, except per share data and percentages)</w:t>
      </w:r>
    </w:p>
    <w:p w14:paraId="718F91BC" w14:textId="77777777" w:rsidR="0044035E" w:rsidRPr="00CA4A72" w:rsidRDefault="0044035E" w:rsidP="0044035E">
      <w:pPr>
        <w:ind w:right="-113"/>
        <w:jc w:val="both"/>
        <w:rPr>
          <w:rFonts w:asciiTheme="minorHAnsi" w:hAnsiTheme="minorHAnsi" w:cstheme="minorHAnsi"/>
          <w:sz w:val="16"/>
          <w:szCs w:val="16"/>
        </w:rPr>
      </w:pPr>
    </w:p>
    <w:p w14:paraId="2BD6E065" w14:textId="77777777" w:rsidR="0044035E" w:rsidRPr="00CA4A72" w:rsidRDefault="0044035E" w:rsidP="0044035E">
      <w:pPr>
        <w:ind w:right="-113"/>
        <w:jc w:val="both"/>
        <w:rPr>
          <w:rFonts w:asciiTheme="minorHAnsi" w:eastAsia="Times New Roman" w:hAnsiTheme="minorHAnsi" w:cstheme="minorHAnsi"/>
          <w:sz w:val="16"/>
          <w:szCs w:val="16"/>
        </w:rPr>
      </w:pPr>
      <w:r w:rsidRPr="00CA4A72">
        <w:rPr>
          <w:rFonts w:asciiTheme="minorHAnsi" w:hAnsiTheme="minorHAnsi" w:cstheme="minorHAnsi"/>
          <w:sz w:val="16"/>
          <w:szCs w:val="16"/>
        </w:rPr>
        <w:t xml:space="preserve">Readers </w:t>
      </w:r>
      <w:proofErr w:type="gramStart"/>
      <w:r w:rsidRPr="00CA4A72">
        <w:rPr>
          <w:rFonts w:asciiTheme="minorHAnsi" w:hAnsiTheme="minorHAnsi" w:cstheme="minorHAnsi"/>
          <w:sz w:val="16"/>
          <w:szCs w:val="16"/>
        </w:rPr>
        <w:t>are cautioned</w:t>
      </w:r>
      <w:proofErr w:type="gramEnd"/>
      <w:r w:rsidRPr="00CA4A72">
        <w:rPr>
          <w:rFonts w:asciiTheme="minorHAnsi" w:hAnsiTheme="minorHAnsi" w:cstheme="minorHAnsi"/>
          <w:sz w:val="16"/>
          <w:szCs w:val="16"/>
        </w:rPr>
        <w:t xml:space="preserve"> that the supplemental non-IFRS information presented in this press release is subject to inherent limitations. It </w:t>
      </w:r>
      <w:proofErr w:type="gramStart"/>
      <w:r w:rsidRPr="00CA4A72">
        <w:rPr>
          <w:rFonts w:asciiTheme="minorHAnsi" w:hAnsiTheme="minorHAnsi" w:cstheme="minorHAnsi"/>
          <w:sz w:val="16"/>
          <w:szCs w:val="16"/>
        </w:rPr>
        <w:t>is not based</w:t>
      </w:r>
      <w:proofErr w:type="gramEnd"/>
      <w:r w:rsidRPr="00CA4A72">
        <w:rPr>
          <w:rFonts w:asciiTheme="minorHAnsi" w:hAnsiTheme="minorHAnsi" w:cstheme="minorHAnsi"/>
          <w:sz w:val="16"/>
          <w:szCs w:val="16"/>
        </w:rPr>
        <w:t xml:space="preserve"> on any comprehensive set of accounting rules or principles and should not be considered as a substitute for IFRS measurements. </w:t>
      </w:r>
      <w:proofErr w:type="gramStart"/>
      <w:r w:rsidRPr="00CA4A72">
        <w:rPr>
          <w:rFonts w:asciiTheme="minorHAnsi" w:hAnsiTheme="minorHAnsi" w:cstheme="minorHAnsi"/>
          <w:sz w:val="16"/>
          <w:szCs w:val="16"/>
        </w:rPr>
        <w:t>Also</w:t>
      </w:r>
      <w:proofErr w:type="gramEnd"/>
      <w:r w:rsidRPr="00CA4A72">
        <w:rPr>
          <w:rFonts w:asciiTheme="minorHAnsi" w:hAnsiTheme="minorHAnsi" w:cstheme="minorHAnsi"/>
          <w:sz w:val="16"/>
          <w:szCs w:val="16"/>
        </w:rPr>
        <w:t xml:space="preserve">, the Group’s supplemental non-IFRS financial information may not be comparable to similarly titled non-IFRS measures used by other companies. Further specific limitations for individual non-IFRS measures, and the reasons for presenting non-IFRS financial information, are set forth in the Group’s </w:t>
      </w:r>
      <w:r w:rsidRPr="00CA4A72">
        <w:rPr>
          <w:rFonts w:asciiTheme="minorHAnsi" w:hAnsiTheme="minorHAnsi" w:cstheme="minorHAnsi"/>
          <w:i/>
          <w:iCs/>
          <w:sz w:val="16"/>
          <w:szCs w:val="16"/>
        </w:rPr>
        <w:t xml:space="preserve">Document </w:t>
      </w:r>
      <w:proofErr w:type="spellStart"/>
      <w:r w:rsidRPr="00CA4A72">
        <w:rPr>
          <w:rFonts w:asciiTheme="minorHAnsi" w:hAnsiTheme="minorHAnsi" w:cstheme="minorHAnsi"/>
          <w:i/>
          <w:iCs/>
          <w:sz w:val="16"/>
          <w:szCs w:val="16"/>
        </w:rPr>
        <w:t>d’Enregistrement</w:t>
      </w:r>
      <w:proofErr w:type="spellEnd"/>
      <w:r w:rsidRPr="00CA4A72">
        <w:rPr>
          <w:rFonts w:asciiTheme="minorHAnsi" w:hAnsiTheme="minorHAnsi" w:cstheme="minorHAnsi"/>
          <w:i/>
          <w:iCs/>
          <w:sz w:val="16"/>
          <w:szCs w:val="16"/>
        </w:rPr>
        <w:t xml:space="preserve"> </w:t>
      </w:r>
      <w:proofErr w:type="spellStart"/>
      <w:r w:rsidRPr="00CA4A72">
        <w:rPr>
          <w:rFonts w:asciiTheme="minorHAnsi" w:hAnsiTheme="minorHAnsi" w:cstheme="minorHAnsi"/>
          <w:i/>
          <w:iCs/>
          <w:sz w:val="16"/>
          <w:szCs w:val="16"/>
        </w:rPr>
        <w:t>Universel</w:t>
      </w:r>
      <w:proofErr w:type="spellEnd"/>
      <w:r w:rsidRPr="00CA4A72">
        <w:rPr>
          <w:rFonts w:asciiTheme="minorHAnsi" w:hAnsiTheme="minorHAnsi" w:cstheme="minorHAnsi"/>
          <w:i/>
          <w:iCs/>
          <w:sz w:val="16"/>
          <w:szCs w:val="16"/>
        </w:rPr>
        <w:t xml:space="preserve"> </w:t>
      </w:r>
      <w:r w:rsidRPr="00CA4A72">
        <w:rPr>
          <w:rFonts w:asciiTheme="minorHAnsi" w:hAnsiTheme="minorHAnsi" w:cstheme="minorHAnsi"/>
          <w:sz w:val="16"/>
          <w:szCs w:val="16"/>
        </w:rPr>
        <w:t xml:space="preserve">for the year ended December 31, 2019 filed with the AMF on </w:t>
      </w:r>
      <w:r w:rsidRPr="00F30606">
        <w:rPr>
          <w:rFonts w:asciiTheme="minorHAnsi" w:hAnsiTheme="minorHAnsi" w:cstheme="minorHAnsi"/>
          <w:sz w:val="16"/>
          <w:szCs w:val="16"/>
        </w:rPr>
        <w:t>March 19, 2020</w:t>
      </w:r>
      <w:r w:rsidRPr="00CA4A72">
        <w:rPr>
          <w:rFonts w:asciiTheme="minorHAnsi" w:hAnsiTheme="minorHAnsi" w:cstheme="minorHAnsi"/>
          <w:sz w:val="16"/>
          <w:szCs w:val="16"/>
        </w:rPr>
        <w:t xml:space="preserve">. To compensate for these limitations, the supplemental non-IFRS financial information should be read not in isolation, but only in conjunction with the </w:t>
      </w:r>
      <w:proofErr w:type="gramStart"/>
      <w:r w:rsidRPr="00CA4A72">
        <w:rPr>
          <w:rFonts w:asciiTheme="minorHAnsi" w:hAnsiTheme="minorHAnsi" w:cstheme="minorHAnsi"/>
          <w:sz w:val="16"/>
          <w:szCs w:val="16"/>
        </w:rPr>
        <w:t>Group’s</w:t>
      </w:r>
      <w:proofErr w:type="gramEnd"/>
      <w:r w:rsidRPr="00CA4A72">
        <w:rPr>
          <w:rFonts w:asciiTheme="minorHAnsi" w:hAnsiTheme="minorHAnsi" w:cstheme="minorHAnsi"/>
          <w:sz w:val="16"/>
          <w:szCs w:val="16"/>
        </w:rPr>
        <w:t xml:space="preserve"> consolidated financial statements prepared in accordance with IFRS. </w:t>
      </w:r>
    </w:p>
    <w:tbl>
      <w:tblPr>
        <w:tblW w:w="962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01"/>
        <w:gridCol w:w="775"/>
        <w:gridCol w:w="992"/>
        <w:gridCol w:w="851"/>
        <w:gridCol w:w="900"/>
        <w:gridCol w:w="895"/>
        <w:gridCol w:w="898"/>
        <w:gridCol w:w="714"/>
        <w:gridCol w:w="703"/>
      </w:tblGrid>
      <w:tr w:rsidR="0044035E" w:rsidRPr="00CA4A72" w14:paraId="315DD617" w14:textId="77777777" w:rsidTr="006A1A41">
        <w:trPr>
          <w:trHeight w:val="227"/>
        </w:trPr>
        <w:tc>
          <w:tcPr>
            <w:tcW w:w="2901" w:type="dxa"/>
            <w:vMerge w:val="restart"/>
            <w:tcBorders>
              <w:top w:val="single" w:sz="4" w:space="0" w:color="auto"/>
              <w:bottom w:val="single" w:sz="4" w:space="0" w:color="auto"/>
              <w:right w:val="single" w:sz="4" w:space="0" w:color="auto"/>
            </w:tcBorders>
            <w:vAlign w:val="center"/>
            <w:hideMark/>
          </w:tcPr>
          <w:p w14:paraId="6D6B4959" w14:textId="77777777" w:rsidR="0044035E" w:rsidRPr="00CA4A72" w:rsidRDefault="0044035E" w:rsidP="006A1A41">
            <w:pPr>
              <w:spacing w:line="276" w:lineRule="auto"/>
              <w:jc w:val="center"/>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In millions of Euros, except per share data and percentages</w:t>
            </w:r>
          </w:p>
        </w:tc>
        <w:tc>
          <w:tcPr>
            <w:tcW w:w="5311" w:type="dxa"/>
            <w:gridSpan w:val="6"/>
            <w:tcBorders>
              <w:top w:val="single" w:sz="4" w:space="0" w:color="auto"/>
              <w:left w:val="single" w:sz="4" w:space="0" w:color="auto"/>
              <w:bottom w:val="single" w:sz="4" w:space="0" w:color="auto"/>
              <w:right w:val="single" w:sz="4" w:space="0" w:color="auto"/>
            </w:tcBorders>
            <w:vAlign w:val="center"/>
            <w:hideMark/>
          </w:tcPr>
          <w:p w14:paraId="47E9C02F"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r w:rsidRPr="00F30606">
              <w:rPr>
                <w:rFonts w:asciiTheme="minorHAnsi" w:eastAsia="Times New Roman" w:hAnsiTheme="minorHAnsi" w:cstheme="minorHAnsi"/>
                <w:b/>
                <w:bCs/>
                <w:sz w:val="12"/>
                <w:szCs w:val="12"/>
                <w:lang w:eastAsia="en-GB"/>
              </w:rPr>
              <w:t>Three months ended June</w:t>
            </w:r>
            <w:r>
              <w:rPr>
                <w:rFonts w:asciiTheme="minorHAnsi" w:eastAsia="Times New Roman" w:hAnsiTheme="minorHAnsi" w:cstheme="minorHAnsi"/>
                <w:b/>
                <w:bCs/>
                <w:sz w:val="12"/>
                <w:szCs w:val="12"/>
                <w:lang w:eastAsia="en-GB"/>
              </w:rPr>
              <w:t xml:space="preserve"> 30</w:t>
            </w:r>
            <w:r w:rsidRPr="00CA4A72">
              <w:rPr>
                <w:rFonts w:asciiTheme="minorHAnsi" w:eastAsia="Times New Roman" w:hAnsiTheme="minorHAnsi" w:cstheme="minorHAnsi"/>
                <w:b/>
                <w:bCs/>
                <w:sz w:val="12"/>
                <w:szCs w:val="12"/>
                <w:lang w:eastAsia="en-GB"/>
              </w:rPr>
              <w:t>,</w:t>
            </w:r>
          </w:p>
        </w:tc>
        <w:tc>
          <w:tcPr>
            <w:tcW w:w="1417" w:type="dxa"/>
            <w:gridSpan w:val="2"/>
            <w:tcBorders>
              <w:top w:val="single" w:sz="4" w:space="0" w:color="auto"/>
              <w:left w:val="single" w:sz="4" w:space="0" w:color="auto"/>
              <w:bottom w:val="single" w:sz="4" w:space="0" w:color="auto"/>
            </w:tcBorders>
            <w:vAlign w:val="center"/>
            <w:hideMark/>
          </w:tcPr>
          <w:p w14:paraId="6D7EB7CB"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r w:rsidRPr="00CA4A72">
              <w:rPr>
                <w:rFonts w:asciiTheme="minorHAnsi" w:eastAsia="Times New Roman" w:hAnsiTheme="minorHAnsi" w:cstheme="minorHAnsi"/>
                <w:b/>
                <w:bCs/>
                <w:sz w:val="12"/>
                <w:szCs w:val="12"/>
                <w:lang w:eastAsia="en-GB"/>
              </w:rPr>
              <w:t>Change</w:t>
            </w:r>
          </w:p>
        </w:tc>
      </w:tr>
      <w:tr w:rsidR="0044035E" w:rsidRPr="00CA4A72" w14:paraId="7D5D65EB" w14:textId="77777777" w:rsidTr="006A1A41">
        <w:trPr>
          <w:trHeight w:val="170"/>
        </w:trPr>
        <w:tc>
          <w:tcPr>
            <w:tcW w:w="2901" w:type="dxa"/>
            <w:vMerge/>
            <w:tcBorders>
              <w:top w:val="nil"/>
              <w:bottom w:val="single" w:sz="4" w:space="0" w:color="auto"/>
              <w:right w:val="single" w:sz="4" w:space="0" w:color="auto"/>
            </w:tcBorders>
            <w:vAlign w:val="center"/>
            <w:hideMark/>
          </w:tcPr>
          <w:p w14:paraId="77EB0732"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p>
        </w:tc>
        <w:tc>
          <w:tcPr>
            <w:tcW w:w="775" w:type="dxa"/>
            <w:tcBorders>
              <w:top w:val="single" w:sz="4" w:space="0" w:color="auto"/>
              <w:left w:val="single" w:sz="4" w:space="0" w:color="auto"/>
              <w:bottom w:val="nil"/>
            </w:tcBorders>
            <w:vAlign w:val="bottom"/>
            <w:hideMark/>
          </w:tcPr>
          <w:p w14:paraId="0E7FF703"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r w:rsidRPr="00CA4A72">
              <w:rPr>
                <w:rFonts w:asciiTheme="minorHAnsi" w:eastAsia="Times New Roman" w:hAnsiTheme="minorHAnsi" w:cstheme="minorHAnsi"/>
                <w:b/>
                <w:bCs/>
                <w:sz w:val="12"/>
                <w:szCs w:val="12"/>
                <w:lang w:eastAsia="en-GB"/>
              </w:rPr>
              <w:t>2020</w:t>
            </w:r>
          </w:p>
        </w:tc>
        <w:tc>
          <w:tcPr>
            <w:tcW w:w="992" w:type="dxa"/>
            <w:vMerge w:val="restart"/>
            <w:tcBorders>
              <w:top w:val="single" w:sz="4" w:space="0" w:color="auto"/>
              <w:bottom w:val="nil"/>
            </w:tcBorders>
            <w:vAlign w:val="center"/>
            <w:hideMark/>
          </w:tcPr>
          <w:p w14:paraId="5E33ECA7"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r w:rsidRPr="00CA4A72">
              <w:rPr>
                <w:rFonts w:asciiTheme="minorHAnsi" w:eastAsia="Times New Roman" w:hAnsiTheme="minorHAnsi" w:cstheme="minorHAnsi"/>
                <w:b/>
                <w:bCs/>
                <w:sz w:val="12"/>
                <w:szCs w:val="12"/>
                <w:lang w:eastAsia="en-GB"/>
              </w:rPr>
              <w:t>Adjustment</w:t>
            </w:r>
            <w:r w:rsidRPr="00CA4A72">
              <w:rPr>
                <w:rFonts w:asciiTheme="minorHAnsi" w:eastAsia="Times New Roman" w:hAnsiTheme="minorHAnsi" w:cstheme="minorHAnsi"/>
                <w:b/>
                <w:bCs/>
                <w:sz w:val="12"/>
                <w:szCs w:val="12"/>
                <w:vertAlign w:val="superscript"/>
                <w:lang w:eastAsia="en-GB"/>
              </w:rPr>
              <w:t>(1)</w:t>
            </w:r>
          </w:p>
        </w:tc>
        <w:tc>
          <w:tcPr>
            <w:tcW w:w="851" w:type="dxa"/>
            <w:tcBorders>
              <w:top w:val="single" w:sz="4" w:space="0" w:color="auto"/>
              <w:bottom w:val="nil"/>
              <w:right w:val="single" w:sz="4" w:space="0" w:color="auto"/>
            </w:tcBorders>
            <w:vAlign w:val="bottom"/>
            <w:hideMark/>
          </w:tcPr>
          <w:p w14:paraId="090AB636"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r>
              <w:rPr>
                <w:rFonts w:asciiTheme="minorHAnsi" w:eastAsia="Times New Roman" w:hAnsiTheme="minorHAnsi" w:cstheme="minorHAnsi"/>
                <w:b/>
                <w:bCs/>
                <w:sz w:val="12"/>
                <w:szCs w:val="12"/>
                <w:lang w:eastAsia="en-GB"/>
              </w:rPr>
              <w:t>2020</w:t>
            </w:r>
          </w:p>
        </w:tc>
        <w:tc>
          <w:tcPr>
            <w:tcW w:w="900" w:type="dxa"/>
            <w:tcBorders>
              <w:top w:val="single" w:sz="4" w:space="0" w:color="auto"/>
              <w:left w:val="single" w:sz="4" w:space="0" w:color="auto"/>
              <w:bottom w:val="nil"/>
            </w:tcBorders>
            <w:vAlign w:val="bottom"/>
            <w:hideMark/>
          </w:tcPr>
          <w:p w14:paraId="7AFCEC89"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r>
              <w:rPr>
                <w:rFonts w:asciiTheme="minorHAnsi" w:eastAsia="Times New Roman" w:hAnsiTheme="minorHAnsi" w:cstheme="minorHAnsi"/>
                <w:b/>
                <w:bCs/>
                <w:sz w:val="12"/>
                <w:szCs w:val="12"/>
                <w:lang w:eastAsia="en-GB"/>
              </w:rPr>
              <w:t>2019</w:t>
            </w:r>
          </w:p>
        </w:tc>
        <w:tc>
          <w:tcPr>
            <w:tcW w:w="0" w:type="auto"/>
            <w:vMerge w:val="restart"/>
            <w:tcBorders>
              <w:top w:val="single" w:sz="4" w:space="0" w:color="auto"/>
              <w:bottom w:val="nil"/>
            </w:tcBorders>
            <w:vAlign w:val="center"/>
            <w:hideMark/>
          </w:tcPr>
          <w:p w14:paraId="540B4971"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r w:rsidRPr="00CA4A72">
              <w:rPr>
                <w:rFonts w:asciiTheme="minorHAnsi" w:eastAsia="Times New Roman" w:hAnsiTheme="minorHAnsi" w:cstheme="minorHAnsi"/>
                <w:b/>
                <w:bCs/>
                <w:sz w:val="12"/>
                <w:szCs w:val="12"/>
                <w:lang w:eastAsia="en-GB"/>
              </w:rPr>
              <w:t>Adjustment</w:t>
            </w:r>
            <w:r w:rsidRPr="00CA4A72">
              <w:rPr>
                <w:rFonts w:asciiTheme="minorHAnsi" w:eastAsia="Times New Roman" w:hAnsiTheme="minorHAnsi" w:cstheme="minorHAnsi"/>
                <w:b/>
                <w:bCs/>
                <w:sz w:val="12"/>
                <w:szCs w:val="12"/>
                <w:vertAlign w:val="superscript"/>
                <w:lang w:eastAsia="en-GB"/>
              </w:rPr>
              <w:t>(1)</w:t>
            </w:r>
          </w:p>
        </w:tc>
        <w:tc>
          <w:tcPr>
            <w:tcW w:w="898" w:type="dxa"/>
            <w:tcBorders>
              <w:top w:val="single" w:sz="4" w:space="0" w:color="auto"/>
              <w:bottom w:val="nil"/>
              <w:right w:val="single" w:sz="4" w:space="0" w:color="auto"/>
            </w:tcBorders>
            <w:vAlign w:val="bottom"/>
            <w:hideMark/>
          </w:tcPr>
          <w:p w14:paraId="500D4FB0"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r w:rsidRPr="00CA4A72">
              <w:rPr>
                <w:rFonts w:asciiTheme="minorHAnsi" w:eastAsia="Times New Roman" w:hAnsiTheme="minorHAnsi" w:cstheme="minorHAnsi"/>
                <w:b/>
                <w:bCs/>
                <w:sz w:val="12"/>
                <w:szCs w:val="12"/>
                <w:lang w:eastAsia="en-GB"/>
              </w:rPr>
              <w:t>2019</w:t>
            </w:r>
          </w:p>
        </w:tc>
        <w:tc>
          <w:tcPr>
            <w:tcW w:w="714" w:type="dxa"/>
            <w:vMerge w:val="restart"/>
            <w:tcBorders>
              <w:top w:val="single" w:sz="4" w:space="0" w:color="auto"/>
              <w:left w:val="single" w:sz="4" w:space="0" w:color="auto"/>
              <w:bottom w:val="nil"/>
            </w:tcBorders>
            <w:vAlign w:val="center"/>
            <w:hideMark/>
          </w:tcPr>
          <w:p w14:paraId="29B6F266"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r w:rsidRPr="00CA4A72">
              <w:rPr>
                <w:rFonts w:asciiTheme="minorHAnsi" w:eastAsia="Times New Roman" w:hAnsiTheme="minorHAnsi" w:cstheme="minorHAnsi"/>
                <w:b/>
                <w:bCs/>
                <w:sz w:val="12"/>
                <w:szCs w:val="12"/>
                <w:lang w:eastAsia="en-GB"/>
              </w:rPr>
              <w:t>IFRS</w:t>
            </w:r>
          </w:p>
        </w:tc>
        <w:tc>
          <w:tcPr>
            <w:tcW w:w="703" w:type="dxa"/>
            <w:vMerge w:val="restart"/>
            <w:tcBorders>
              <w:top w:val="single" w:sz="4" w:space="0" w:color="auto"/>
              <w:bottom w:val="nil"/>
            </w:tcBorders>
            <w:vAlign w:val="center"/>
            <w:hideMark/>
          </w:tcPr>
          <w:p w14:paraId="6A7DF643"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r w:rsidRPr="00CA4A72">
              <w:rPr>
                <w:rFonts w:asciiTheme="minorHAnsi" w:eastAsia="Times New Roman" w:hAnsiTheme="minorHAnsi" w:cstheme="minorHAnsi"/>
                <w:b/>
                <w:bCs/>
                <w:sz w:val="12"/>
                <w:szCs w:val="12"/>
                <w:lang w:eastAsia="en-GB"/>
              </w:rPr>
              <w:t>Non-IFRS</w:t>
            </w:r>
            <w:r w:rsidRPr="00CA4A72">
              <w:rPr>
                <w:rFonts w:asciiTheme="minorHAnsi" w:eastAsia="Times New Roman" w:hAnsiTheme="minorHAnsi" w:cstheme="minorHAnsi"/>
                <w:b/>
                <w:bCs/>
                <w:sz w:val="12"/>
                <w:szCs w:val="12"/>
                <w:vertAlign w:val="superscript"/>
                <w:lang w:eastAsia="en-GB"/>
              </w:rPr>
              <w:t>(</w:t>
            </w:r>
            <w:r>
              <w:rPr>
                <w:rFonts w:asciiTheme="minorHAnsi" w:eastAsia="Times New Roman" w:hAnsiTheme="minorHAnsi" w:cstheme="minorHAnsi"/>
                <w:b/>
                <w:bCs/>
                <w:sz w:val="12"/>
                <w:szCs w:val="12"/>
                <w:vertAlign w:val="superscript"/>
                <w:lang w:eastAsia="en-GB"/>
              </w:rPr>
              <w:t>4</w:t>
            </w:r>
            <w:r w:rsidRPr="00CA4A72">
              <w:rPr>
                <w:rFonts w:asciiTheme="minorHAnsi" w:eastAsia="Times New Roman" w:hAnsiTheme="minorHAnsi" w:cstheme="minorHAnsi"/>
                <w:b/>
                <w:bCs/>
                <w:sz w:val="12"/>
                <w:szCs w:val="12"/>
                <w:vertAlign w:val="superscript"/>
                <w:lang w:eastAsia="en-GB"/>
              </w:rPr>
              <w:t>)</w:t>
            </w:r>
          </w:p>
        </w:tc>
      </w:tr>
      <w:tr w:rsidR="0044035E" w:rsidRPr="00CA4A72" w14:paraId="41E42E2A" w14:textId="77777777" w:rsidTr="006A1A41">
        <w:trPr>
          <w:trHeight w:val="170"/>
        </w:trPr>
        <w:tc>
          <w:tcPr>
            <w:tcW w:w="2901" w:type="dxa"/>
            <w:vMerge/>
            <w:tcBorders>
              <w:top w:val="nil"/>
              <w:bottom w:val="single" w:sz="4" w:space="0" w:color="auto"/>
              <w:right w:val="single" w:sz="4" w:space="0" w:color="auto"/>
            </w:tcBorders>
            <w:vAlign w:val="center"/>
            <w:hideMark/>
          </w:tcPr>
          <w:p w14:paraId="031BD2B3"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p>
        </w:tc>
        <w:tc>
          <w:tcPr>
            <w:tcW w:w="775" w:type="dxa"/>
            <w:tcBorders>
              <w:top w:val="nil"/>
              <w:left w:val="single" w:sz="4" w:space="0" w:color="auto"/>
              <w:bottom w:val="single" w:sz="4" w:space="0" w:color="auto"/>
            </w:tcBorders>
            <w:hideMark/>
          </w:tcPr>
          <w:p w14:paraId="5D6EC6E9"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r w:rsidRPr="00CA4A72">
              <w:rPr>
                <w:rFonts w:asciiTheme="minorHAnsi" w:eastAsia="Times New Roman" w:hAnsiTheme="minorHAnsi" w:cstheme="minorHAnsi"/>
                <w:b/>
                <w:bCs/>
                <w:sz w:val="12"/>
                <w:szCs w:val="12"/>
                <w:lang w:eastAsia="en-GB"/>
              </w:rPr>
              <w:t>IFRS</w:t>
            </w:r>
          </w:p>
        </w:tc>
        <w:tc>
          <w:tcPr>
            <w:tcW w:w="992" w:type="dxa"/>
            <w:vMerge/>
            <w:tcBorders>
              <w:top w:val="nil"/>
              <w:bottom w:val="single" w:sz="4" w:space="0" w:color="auto"/>
            </w:tcBorders>
            <w:vAlign w:val="center"/>
            <w:hideMark/>
          </w:tcPr>
          <w:p w14:paraId="7DD1C716" w14:textId="77777777" w:rsidR="0044035E" w:rsidRPr="00CA4A72" w:rsidRDefault="0044035E" w:rsidP="006A1A41">
            <w:pPr>
              <w:spacing w:line="276" w:lineRule="auto"/>
              <w:rPr>
                <w:rFonts w:asciiTheme="minorHAnsi" w:eastAsia="Times New Roman" w:hAnsiTheme="minorHAnsi" w:cstheme="minorHAnsi"/>
                <w:b/>
                <w:bCs/>
                <w:sz w:val="12"/>
                <w:szCs w:val="12"/>
                <w:lang w:eastAsia="en-GB"/>
              </w:rPr>
            </w:pPr>
          </w:p>
        </w:tc>
        <w:tc>
          <w:tcPr>
            <w:tcW w:w="851" w:type="dxa"/>
            <w:tcBorders>
              <w:top w:val="nil"/>
              <w:bottom w:val="single" w:sz="4" w:space="0" w:color="auto"/>
              <w:right w:val="single" w:sz="4" w:space="0" w:color="auto"/>
            </w:tcBorders>
            <w:hideMark/>
          </w:tcPr>
          <w:p w14:paraId="73CFA427"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r w:rsidRPr="00CA4A72">
              <w:rPr>
                <w:rFonts w:asciiTheme="minorHAnsi" w:eastAsia="Times New Roman" w:hAnsiTheme="minorHAnsi" w:cstheme="minorHAnsi"/>
                <w:b/>
                <w:bCs/>
                <w:sz w:val="12"/>
                <w:szCs w:val="12"/>
                <w:lang w:eastAsia="en-GB"/>
              </w:rPr>
              <w:t>Non-IFRS</w:t>
            </w:r>
          </w:p>
        </w:tc>
        <w:tc>
          <w:tcPr>
            <w:tcW w:w="900" w:type="dxa"/>
            <w:tcBorders>
              <w:top w:val="nil"/>
              <w:left w:val="single" w:sz="4" w:space="0" w:color="auto"/>
              <w:bottom w:val="single" w:sz="4" w:space="0" w:color="auto"/>
            </w:tcBorders>
            <w:hideMark/>
          </w:tcPr>
          <w:p w14:paraId="7FD97475"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r w:rsidRPr="00CA4A72">
              <w:rPr>
                <w:rFonts w:asciiTheme="minorHAnsi" w:eastAsia="Times New Roman" w:hAnsiTheme="minorHAnsi" w:cstheme="minorHAnsi"/>
                <w:b/>
                <w:bCs/>
                <w:sz w:val="12"/>
                <w:szCs w:val="12"/>
                <w:lang w:eastAsia="en-GB"/>
              </w:rPr>
              <w:t>IFRS</w:t>
            </w:r>
          </w:p>
        </w:tc>
        <w:tc>
          <w:tcPr>
            <w:tcW w:w="0" w:type="auto"/>
            <w:vMerge/>
            <w:tcBorders>
              <w:top w:val="nil"/>
              <w:bottom w:val="single" w:sz="4" w:space="0" w:color="auto"/>
            </w:tcBorders>
            <w:vAlign w:val="center"/>
            <w:hideMark/>
          </w:tcPr>
          <w:p w14:paraId="5455BC4A" w14:textId="77777777" w:rsidR="0044035E" w:rsidRPr="00CA4A72" w:rsidRDefault="0044035E" w:rsidP="006A1A41">
            <w:pPr>
              <w:spacing w:line="276" w:lineRule="auto"/>
              <w:rPr>
                <w:rFonts w:asciiTheme="minorHAnsi" w:eastAsia="Times New Roman" w:hAnsiTheme="minorHAnsi" w:cstheme="minorHAnsi"/>
                <w:b/>
                <w:bCs/>
                <w:sz w:val="12"/>
                <w:szCs w:val="12"/>
                <w:lang w:eastAsia="en-GB"/>
              </w:rPr>
            </w:pPr>
          </w:p>
        </w:tc>
        <w:tc>
          <w:tcPr>
            <w:tcW w:w="898" w:type="dxa"/>
            <w:tcBorders>
              <w:top w:val="nil"/>
              <w:bottom w:val="single" w:sz="4" w:space="0" w:color="auto"/>
              <w:right w:val="single" w:sz="4" w:space="0" w:color="auto"/>
            </w:tcBorders>
            <w:hideMark/>
          </w:tcPr>
          <w:p w14:paraId="78255299"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r w:rsidRPr="00CA4A72">
              <w:rPr>
                <w:rFonts w:asciiTheme="minorHAnsi" w:eastAsia="Times New Roman" w:hAnsiTheme="minorHAnsi" w:cstheme="minorHAnsi"/>
                <w:b/>
                <w:bCs/>
                <w:sz w:val="12"/>
                <w:szCs w:val="12"/>
                <w:lang w:eastAsia="en-GB"/>
              </w:rPr>
              <w:t>Non-IFRS</w:t>
            </w:r>
          </w:p>
        </w:tc>
        <w:tc>
          <w:tcPr>
            <w:tcW w:w="714" w:type="dxa"/>
            <w:vMerge/>
            <w:tcBorders>
              <w:top w:val="nil"/>
              <w:left w:val="single" w:sz="4" w:space="0" w:color="auto"/>
              <w:bottom w:val="single" w:sz="4" w:space="0" w:color="auto"/>
            </w:tcBorders>
            <w:vAlign w:val="center"/>
            <w:hideMark/>
          </w:tcPr>
          <w:p w14:paraId="4ADEB11E" w14:textId="77777777" w:rsidR="0044035E" w:rsidRPr="00CA4A72" w:rsidRDefault="0044035E" w:rsidP="006A1A41">
            <w:pPr>
              <w:spacing w:line="276" w:lineRule="auto"/>
              <w:rPr>
                <w:rFonts w:asciiTheme="minorHAnsi" w:eastAsia="Times New Roman" w:hAnsiTheme="minorHAnsi" w:cstheme="minorHAnsi"/>
                <w:b/>
                <w:bCs/>
                <w:sz w:val="12"/>
                <w:szCs w:val="12"/>
                <w:lang w:eastAsia="en-GB"/>
              </w:rPr>
            </w:pPr>
          </w:p>
        </w:tc>
        <w:tc>
          <w:tcPr>
            <w:tcW w:w="703" w:type="dxa"/>
            <w:vMerge/>
            <w:tcBorders>
              <w:top w:val="nil"/>
              <w:bottom w:val="single" w:sz="4" w:space="0" w:color="auto"/>
            </w:tcBorders>
            <w:vAlign w:val="center"/>
            <w:hideMark/>
          </w:tcPr>
          <w:p w14:paraId="5C3D975A" w14:textId="77777777" w:rsidR="0044035E" w:rsidRPr="00CA4A72" w:rsidRDefault="0044035E" w:rsidP="006A1A41">
            <w:pPr>
              <w:spacing w:line="276" w:lineRule="auto"/>
              <w:rPr>
                <w:rFonts w:asciiTheme="minorHAnsi" w:eastAsia="Times New Roman" w:hAnsiTheme="minorHAnsi" w:cstheme="minorHAnsi"/>
                <w:b/>
                <w:bCs/>
                <w:sz w:val="12"/>
                <w:szCs w:val="12"/>
                <w:lang w:eastAsia="en-GB"/>
              </w:rPr>
            </w:pPr>
          </w:p>
        </w:tc>
      </w:tr>
      <w:tr w:rsidR="0044035E" w:rsidRPr="00CA4A72" w14:paraId="729201D3" w14:textId="77777777" w:rsidTr="006A1A41">
        <w:trPr>
          <w:trHeight w:val="170"/>
        </w:trPr>
        <w:tc>
          <w:tcPr>
            <w:tcW w:w="2901" w:type="dxa"/>
            <w:tcBorders>
              <w:top w:val="single" w:sz="4" w:space="0" w:color="auto"/>
              <w:bottom w:val="nil"/>
              <w:right w:val="single" w:sz="4" w:space="0" w:color="auto"/>
            </w:tcBorders>
            <w:vAlign w:val="center"/>
            <w:hideMark/>
          </w:tcPr>
          <w:p w14:paraId="69CBCC42" w14:textId="77777777" w:rsidR="0044035E" w:rsidRPr="00CA4A72" w:rsidRDefault="0044035E" w:rsidP="006A1A41">
            <w:pPr>
              <w:spacing w:line="276" w:lineRule="auto"/>
              <w:rPr>
                <w:rFonts w:asciiTheme="minorHAnsi" w:eastAsia="Times New Roman" w:hAnsiTheme="minorHAnsi" w:cstheme="minorHAnsi"/>
                <w:b/>
                <w:bCs/>
                <w:sz w:val="12"/>
                <w:szCs w:val="12"/>
                <w:lang w:eastAsia="en-GB"/>
              </w:rPr>
            </w:pPr>
            <w:r w:rsidRPr="00CA4A72">
              <w:rPr>
                <w:rFonts w:asciiTheme="minorHAnsi" w:hAnsiTheme="minorHAnsi" w:cstheme="minorHAnsi"/>
                <w:b/>
                <w:bCs/>
                <w:sz w:val="12"/>
                <w:szCs w:val="12"/>
              </w:rPr>
              <w:t>Total Revenue</w:t>
            </w:r>
          </w:p>
        </w:tc>
        <w:tc>
          <w:tcPr>
            <w:tcW w:w="775" w:type="dxa"/>
            <w:tcBorders>
              <w:top w:val="single" w:sz="4" w:space="0" w:color="auto"/>
              <w:left w:val="single" w:sz="4" w:space="0" w:color="auto"/>
            </w:tcBorders>
            <w:shd w:val="clear" w:color="000000" w:fill="FFFFFF"/>
            <w:noWrap/>
            <w:vAlign w:val="center"/>
          </w:tcPr>
          <w:p w14:paraId="4A67F95C" w14:textId="77777777" w:rsidR="0044035E" w:rsidRPr="00A455FD" w:rsidRDefault="0044035E" w:rsidP="006A1A41">
            <w:pPr>
              <w:spacing w:line="276" w:lineRule="auto"/>
              <w:jc w:val="center"/>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€ 1,068.7</w:t>
            </w:r>
          </w:p>
        </w:tc>
        <w:tc>
          <w:tcPr>
            <w:tcW w:w="992" w:type="dxa"/>
            <w:tcBorders>
              <w:top w:val="single" w:sz="4" w:space="0" w:color="auto"/>
            </w:tcBorders>
            <w:shd w:val="clear" w:color="000000" w:fill="FFFFFF"/>
            <w:noWrap/>
            <w:vAlign w:val="center"/>
          </w:tcPr>
          <w:p w14:paraId="11D62228" w14:textId="77777777" w:rsidR="0044035E" w:rsidRPr="00A455FD" w:rsidRDefault="0044035E" w:rsidP="006A1A41">
            <w:pPr>
              <w:spacing w:line="276" w:lineRule="auto"/>
              <w:jc w:val="center"/>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€ 1.9</w:t>
            </w:r>
          </w:p>
        </w:tc>
        <w:tc>
          <w:tcPr>
            <w:tcW w:w="851" w:type="dxa"/>
            <w:tcBorders>
              <w:top w:val="single" w:sz="4" w:space="0" w:color="auto"/>
              <w:right w:val="single" w:sz="4" w:space="0" w:color="auto"/>
            </w:tcBorders>
            <w:shd w:val="clear" w:color="000000" w:fill="FFFFFF"/>
            <w:noWrap/>
            <w:vAlign w:val="center"/>
          </w:tcPr>
          <w:p w14:paraId="5EE902F0" w14:textId="77777777" w:rsidR="0044035E" w:rsidRPr="00A455FD" w:rsidRDefault="0044035E" w:rsidP="006A1A41">
            <w:pPr>
              <w:spacing w:line="276" w:lineRule="auto"/>
              <w:jc w:val="center"/>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€ 1,070.6</w:t>
            </w:r>
          </w:p>
        </w:tc>
        <w:tc>
          <w:tcPr>
            <w:tcW w:w="900" w:type="dxa"/>
            <w:tcBorders>
              <w:top w:val="single" w:sz="4" w:space="0" w:color="auto"/>
              <w:left w:val="single" w:sz="4" w:space="0" w:color="auto"/>
            </w:tcBorders>
            <w:shd w:val="clear" w:color="000000" w:fill="FFFFFF"/>
            <w:noWrap/>
            <w:vAlign w:val="center"/>
          </w:tcPr>
          <w:p w14:paraId="2C22AA0C" w14:textId="77777777" w:rsidR="0044035E" w:rsidRPr="00A455FD" w:rsidRDefault="0044035E" w:rsidP="006A1A41">
            <w:pPr>
              <w:spacing w:line="276" w:lineRule="auto"/>
              <w:jc w:val="center"/>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€ 961.4</w:t>
            </w:r>
          </w:p>
        </w:tc>
        <w:tc>
          <w:tcPr>
            <w:tcW w:w="0" w:type="auto"/>
            <w:tcBorders>
              <w:top w:val="single" w:sz="4" w:space="0" w:color="auto"/>
            </w:tcBorders>
            <w:shd w:val="clear" w:color="000000" w:fill="FFFFFF"/>
            <w:noWrap/>
            <w:vAlign w:val="center"/>
          </w:tcPr>
          <w:p w14:paraId="48E267AC" w14:textId="77777777" w:rsidR="0044035E" w:rsidRPr="00A455FD" w:rsidRDefault="0044035E" w:rsidP="006A1A41">
            <w:pPr>
              <w:spacing w:line="276" w:lineRule="auto"/>
              <w:jc w:val="center"/>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€ 4.0</w:t>
            </w:r>
          </w:p>
        </w:tc>
        <w:tc>
          <w:tcPr>
            <w:tcW w:w="898" w:type="dxa"/>
            <w:tcBorders>
              <w:top w:val="single" w:sz="4" w:space="0" w:color="auto"/>
              <w:right w:val="single" w:sz="4" w:space="0" w:color="auto"/>
            </w:tcBorders>
            <w:shd w:val="clear" w:color="000000" w:fill="FFFFFF"/>
            <w:noWrap/>
            <w:vAlign w:val="center"/>
          </w:tcPr>
          <w:p w14:paraId="30B01F1B" w14:textId="77777777" w:rsidR="0044035E" w:rsidRPr="00A455FD" w:rsidRDefault="0044035E" w:rsidP="006A1A41">
            <w:pPr>
              <w:spacing w:line="276" w:lineRule="auto"/>
              <w:jc w:val="center"/>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€ 965.4</w:t>
            </w:r>
          </w:p>
        </w:tc>
        <w:tc>
          <w:tcPr>
            <w:tcW w:w="714" w:type="dxa"/>
            <w:tcBorders>
              <w:top w:val="single" w:sz="4" w:space="0" w:color="auto"/>
              <w:left w:val="single" w:sz="4" w:space="0" w:color="auto"/>
            </w:tcBorders>
            <w:shd w:val="clear" w:color="000000" w:fill="FFFFFF"/>
            <w:vAlign w:val="center"/>
          </w:tcPr>
          <w:p w14:paraId="6FA61EAE" w14:textId="77777777" w:rsidR="0044035E" w:rsidRPr="00A455FD" w:rsidRDefault="0044035E" w:rsidP="006A1A41">
            <w:pPr>
              <w:spacing w:line="276" w:lineRule="auto"/>
              <w:jc w:val="center"/>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11%</w:t>
            </w:r>
          </w:p>
        </w:tc>
        <w:tc>
          <w:tcPr>
            <w:tcW w:w="703" w:type="dxa"/>
            <w:tcBorders>
              <w:top w:val="single" w:sz="4" w:space="0" w:color="auto"/>
            </w:tcBorders>
            <w:shd w:val="clear" w:color="000000" w:fill="FFFFFF"/>
            <w:vAlign w:val="center"/>
          </w:tcPr>
          <w:p w14:paraId="52F3EB2D" w14:textId="77777777" w:rsidR="0044035E" w:rsidRPr="00A455FD" w:rsidRDefault="0044035E" w:rsidP="006A1A41">
            <w:pPr>
              <w:spacing w:line="276" w:lineRule="auto"/>
              <w:jc w:val="center"/>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11%</w:t>
            </w:r>
          </w:p>
        </w:tc>
      </w:tr>
      <w:tr w:rsidR="0044035E" w:rsidRPr="00CA4A72" w14:paraId="0385DF62" w14:textId="77777777" w:rsidTr="006A1A41">
        <w:trPr>
          <w:trHeight w:val="170"/>
        </w:trPr>
        <w:tc>
          <w:tcPr>
            <w:tcW w:w="2901" w:type="dxa"/>
            <w:tcBorders>
              <w:top w:val="nil"/>
              <w:bottom w:val="nil"/>
              <w:right w:val="single" w:sz="4" w:space="0" w:color="auto"/>
            </w:tcBorders>
            <w:vAlign w:val="center"/>
            <w:hideMark/>
          </w:tcPr>
          <w:p w14:paraId="665CEBBE" w14:textId="77777777" w:rsidR="0044035E" w:rsidRPr="00CA4A72" w:rsidRDefault="0044035E" w:rsidP="006A1A41">
            <w:pPr>
              <w:spacing w:line="276" w:lineRule="auto"/>
              <w:rPr>
                <w:rFonts w:asciiTheme="minorHAnsi" w:eastAsia="Times New Roman" w:hAnsiTheme="minorHAnsi" w:cstheme="minorHAnsi"/>
                <w:b/>
                <w:bCs/>
                <w:sz w:val="12"/>
                <w:szCs w:val="12"/>
                <w:lang w:eastAsia="en-GB"/>
              </w:rPr>
            </w:pPr>
            <w:r w:rsidRPr="00CA4A72">
              <w:rPr>
                <w:rFonts w:asciiTheme="minorHAnsi" w:hAnsiTheme="minorHAnsi" w:cstheme="minorHAnsi"/>
                <w:b/>
                <w:bCs/>
                <w:sz w:val="12"/>
                <w:szCs w:val="12"/>
              </w:rPr>
              <w:t>Total Revenue breakdown by activity</w:t>
            </w:r>
          </w:p>
        </w:tc>
        <w:tc>
          <w:tcPr>
            <w:tcW w:w="775" w:type="dxa"/>
            <w:tcBorders>
              <w:left w:val="single" w:sz="4" w:space="0" w:color="auto"/>
            </w:tcBorders>
            <w:shd w:val="clear" w:color="000000" w:fill="FFFFFF"/>
            <w:vAlign w:val="center"/>
          </w:tcPr>
          <w:p w14:paraId="15CCCE0A"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992" w:type="dxa"/>
            <w:shd w:val="clear" w:color="000000" w:fill="FFFFFF"/>
            <w:vAlign w:val="center"/>
          </w:tcPr>
          <w:p w14:paraId="6D090C54"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851" w:type="dxa"/>
            <w:tcBorders>
              <w:right w:val="single" w:sz="4" w:space="0" w:color="auto"/>
            </w:tcBorders>
            <w:shd w:val="clear" w:color="000000" w:fill="FFFFFF"/>
            <w:vAlign w:val="center"/>
          </w:tcPr>
          <w:p w14:paraId="0F2AE349"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900" w:type="dxa"/>
            <w:tcBorders>
              <w:left w:val="single" w:sz="4" w:space="0" w:color="auto"/>
            </w:tcBorders>
            <w:shd w:val="clear" w:color="000000" w:fill="FFFFFF"/>
            <w:vAlign w:val="center"/>
          </w:tcPr>
          <w:p w14:paraId="7B5E293A"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0" w:type="auto"/>
            <w:shd w:val="clear" w:color="000000" w:fill="FFFFFF"/>
            <w:vAlign w:val="center"/>
          </w:tcPr>
          <w:p w14:paraId="6660A1BC"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898" w:type="dxa"/>
            <w:tcBorders>
              <w:right w:val="single" w:sz="4" w:space="0" w:color="auto"/>
            </w:tcBorders>
            <w:shd w:val="clear" w:color="000000" w:fill="FFFFFF"/>
            <w:vAlign w:val="center"/>
          </w:tcPr>
          <w:p w14:paraId="24299951"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714" w:type="dxa"/>
            <w:tcBorders>
              <w:left w:val="single" w:sz="4" w:space="0" w:color="auto"/>
            </w:tcBorders>
            <w:shd w:val="clear" w:color="000000" w:fill="FFFFFF"/>
            <w:vAlign w:val="center"/>
          </w:tcPr>
          <w:p w14:paraId="6AEB811B"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703" w:type="dxa"/>
            <w:shd w:val="clear" w:color="000000" w:fill="FFFFFF"/>
            <w:vAlign w:val="center"/>
          </w:tcPr>
          <w:p w14:paraId="67C4C9FD"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r>
      <w:tr w:rsidR="0044035E" w:rsidRPr="00CA4A72" w14:paraId="7619B1F3" w14:textId="77777777" w:rsidTr="006A1A41">
        <w:trPr>
          <w:trHeight w:val="170"/>
        </w:trPr>
        <w:tc>
          <w:tcPr>
            <w:tcW w:w="2901" w:type="dxa"/>
            <w:tcBorders>
              <w:top w:val="nil"/>
              <w:bottom w:val="nil"/>
              <w:right w:val="single" w:sz="4" w:space="0" w:color="auto"/>
            </w:tcBorders>
            <w:vAlign w:val="center"/>
            <w:hideMark/>
          </w:tcPr>
          <w:p w14:paraId="41D7585E"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Software revenue</w:t>
            </w:r>
          </w:p>
        </w:tc>
        <w:tc>
          <w:tcPr>
            <w:tcW w:w="775" w:type="dxa"/>
            <w:tcBorders>
              <w:left w:val="single" w:sz="4" w:space="0" w:color="auto"/>
            </w:tcBorders>
            <w:shd w:val="clear" w:color="000000" w:fill="FFFFFF"/>
            <w:noWrap/>
            <w:vAlign w:val="center"/>
          </w:tcPr>
          <w:p w14:paraId="7D65D69A"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958.8</w:t>
            </w:r>
          </w:p>
        </w:tc>
        <w:tc>
          <w:tcPr>
            <w:tcW w:w="992" w:type="dxa"/>
            <w:shd w:val="clear" w:color="000000" w:fill="FFFFFF"/>
            <w:noWrap/>
            <w:vAlign w:val="center"/>
          </w:tcPr>
          <w:p w14:paraId="46E6C496"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1.7</w:t>
            </w:r>
          </w:p>
        </w:tc>
        <w:tc>
          <w:tcPr>
            <w:tcW w:w="851" w:type="dxa"/>
            <w:tcBorders>
              <w:right w:val="single" w:sz="4" w:space="0" w:color="auto"/>
            </w:tcBorders>
            <w:shd w:val="clear" w:color="000000" w:fill="FFFFFF"/>
            <w:noWrap/>
            <w:vAlign w:val="center"/>
          </w:tcPr>
          <w:p w14:paraId="1E108509"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960.5</w:t>
            </w:r>
          </w:p>
        </w:tc>
        <w:tc>
          <w:tcPr>
            <w:tcW w:w="900" w:type="dxa"/>
            <w:tcBorders>
              <w:left w:val="single" w:sz="4" w:space="0" w:color="auto"/>
            </w:tcBorders>
            <w:shd w:val="clear" w:color="000000" w:fill="FFFFFF"/>
            <w:noWrap/>
            <w:vAlign w:val="center"/>
          </w:tcPr>
          <w:p w14:paraId="7ACC7C3D"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847.4</w:t>
            </w:r>
          </w:p>
        </w:tc>
        <w:tc>
          <w:tcPr>
            <w:tcW w:w="0" w:type="auto"/>
            <w:shd w:val="clear" w:color="000000" w:fill="FFFFFF"/>
            <w:noWrap/>
            <w:vAlign w:val="center"/>
          </w:tcPr>
          <w:p w14:paraId="11C7256D"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3.6</w:t>
            </w:r>
          </w:p>
        </w:tc>
        <w:tc>
          <w:tcPr>
            <w:tcW w:w="898" w:type="dxa"/>
            <w:tcBorders>
              <w:right w:val="single" w:sz="4" w:space="0" w:color="auto"/>
            </w:tcBorders>
            <w:shd w:val="clear" w:color="000000" w:fill="FFFFFF"/>
            <w:noWrap/>
            <w:vAlign w:val="center"/>
          </w:tcPr>
          <w:p w14:paraId="1FF3846A"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851.0</w:t>
            </w:r>
          </w:p>
        </w:tc>
        <w:tc>
          <w:tcPr>
            <w:tcW w:w="714" w:type="dxa"/>
            <w:tcBorders>
              <w:left w:val="single" w:sz="4" w:space="0" w:color="auto"/>
            </w:tcBorders>
            <w:shd w:val="clear" w:color="000000" w:fill="FFFFFF"/>
            <w:vAlign w:val="center"/>
          </w:tcPr>
          <w:p w14:paraId="5C2BAABA"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13%</w:t>
            </w:r>
          </w:p>
        </w:tc>
        <w:tc>
          <w:tcPr>
            <w:tcW w:w="703" w:type="dxa"/>
            <w:shd w:val="clear" w:color="000000" w:fill="FFFFFF"/>
            <w:vAlign w:val="center"/>
          </w:tcPr>
          <w:p w14:paraId="124181B5"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13%</w:t>
            </w:r>
          </w:p>
        </w:tc>
      </w:tr>
      <w:tr w:rsidR="0044035E" w:rsidRPr="00CA4A72" w14:paraId="1D767921" w14:textId="77777777" w:rsidTr="006A1A41">
        <w:trPr>
          <w:trHeight w:val="170"/>
        </w:trPr>
        <w:tc>
          <w:tcPr>
            <w:tcW w:w="2901" w:type="dxa"/>
            <w:tcBorders>
              <w:top w:val="nil"/>
              <w:bottom w:val="nil"/>
              <w:right w:val="single" w:sz="4" w:space="0" w:color="auto"/>
            </w:tcBorders>
            <w:vAlign w:val="center"/>
            <w:hideMark/>
          </w:tcPr>
          <w:p w14:paraId="52CCB621" w14:textId="77777777" w:rsidR="0044035E" w:rsidRPr="00CA4A72" w:rsidRDefault="0044035E" w:rsidP="006A1A41">
            <w:pPr>
              <w:spacing w:line="276" w:lineRule="auto"/>
              <w:ind w:firstLineChars="50" w:firstLine="60"/>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Licenses and other software revenue</w:t>
            </w:r>
          </w:p>
        </w:tc>
        <w:tc>
          <w:tcPr>
            <w:tcW w:w="775" w:type="dxa"/>
            <w:tcBorders>
              <w:left w:val="single" w:sz="4" w:space="0" w:color="auto"/>
            </w:tcBorders>
            <w:shd w:val="clear" w:color="000000" w:fill="FFFFFF"/>
            <w:noWrap/>
            <w:vAlign w:val="center"/>
          </w:tcPr>
          <w:p w14:paraId="1273FDC3"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169.3</w:t>
            </w:r>
          </w:p>
        </w:tc>
        <w:tc>
          <w:tcPr>
            <w:tcW w:w="992" w:type="dxa"/>
            <w:shd w:val="clear" w:color="000000" w:fill="FFFFFF"/>
            <w:noWrap/>
            <w:vAlign w:val="center"/>
          </w:tcPr>
          <w:p w14:paraId="06DAD94A"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851" w:type="dxa"/>
            <w:tcBorders>
              <w:right w:val="single" w:sz="4" w:space="0" w:color="auto"/>
            </w:tcBorders>
            <w:shd w:val="clear" w:color="000000" w:fill="FFFFFF"/>
            <w:noWrap/>
            <w:vAlign w:val="center"/>
          </w:tcPr>
          <w:p w14:paraId="14CEAF3F"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169.3</w:t>
            </w:r>
          </w:p>
        </w:tc>
        <w:tc>
          <w:tcPr>
            <w:tcW w:w="900" w:type="dxa"/>
            <w:tcBorders>
              <w:left w:val="single" w:sz="4" w:space="0" w:color="auto"/>
            </w:tcBorders>
            <w:shd w:val="clear" w:color="000000" w:fill="FFFFFF"/>
            <w:noWrap/>
            <w:vAlign w:val="center"/>
          </w:tcPr>
          <w:p w14:paraId="5825C2AD"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248.5</w:t>
            </w:r>
          </w:p>
        </w:tc>
        <w:tc>
          <w:tcPr>
            <w:tcW w:w="0" w:type="auto"/>
            <w:shd w:val="clear" w:color="000000" w:fill="FFFFFF"/>
            <w:noWrap/>
            <w:vAlign w:val="center"/>
          </w:tcPr>
          <w:p w14:paraId="3BAA48EE"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898" w:type="dxa"/>
            <w:tcBorders>
              <w:right w:val="single" w:sz="4" w:space="0" w:color="auto"/>
            </w:tcBorders>
            <w:shd w:val="clear" w:color="000000" w:fill="FFFFFF"/>
            <w:noWrap/>
            <w:vAlign w:val="center"/>
          </w:tcPr>
          <w:p w14:paraId="0EBCA363"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248.5</w:t>
            </w:r>
          </w:p>
        </w:tc>
        <w:tc>
          <w:tcPr>
            <w:tcW w:w="714" w:type="dxa"/>
            <w:tcBorders>
              <w:left w:val="single" w:sz="4" w:space="0" w:color="auto"/>
            </w:tcBorders>
            <w:shd w:val="clear" w:color="000000" w:fill="FFFFFF"/>
            <w:vAlign w:val="center"/>
          </w:tcPr>
          <w:p w14:paraId="75D4C708"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(32)%</w:t>
            </w:r>
          </w:p>
        </w:tc>
        <w:tc>
          <w:tcPr>
            <w:tcW w:w="703" w:type="dxa"/>
            <w:shd w:val="clear" w:color="000000" w:fill="FFFFFF"/>
            <w:vAlign w:val="center"/>
          </w:tcPr>
          <w:p w14:paraId="7EE47557"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(32)%</w:t>
            </w:r>
          </w:p>
        </w:tc>
      </w:tr>
      <w:tr w:rsidR="0044035E" w:rsidRPr="00CA4A72" w14:paraId="578735EB" w14:textId="77777777" w:rsidTr="006A1A41">
        <w:trPr>
          <w:trHeight w:val="170"/>
        </w:trPr>
        <w:tc>
          <w:tcPr>
            <w:tcW w:w="2901" w:type="dxa"/>
            <w:tcBorders>
              <w:top w:val="nil"/>
              <w:bottom w:val="nil"/>
              <w:right w:val="single" w:sz="4" w:space="0" w:color="auto"/>
            </w:tcBorders>
            <w:vAlign w:val="center"/>
            <w:hideMark/>
          </w:tcPr>
          <w:p w14:paraId="65119777" w14:textId="77777777" w:rsidR="0044035E" w:rsidRPr="00CA4A72" w:rsidRDefault="0044035E" w:rsidP="006A1A41">
            <w:pPr>
              <w:spacing w:line="276" w:lineRule="auto"/>
              <w:ind w:firstLineChars="50" w:firstLine="60"/>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Subscription and Support revenue</w:t>
            </w:r>
          </w:p>
        </w:tc>
        <w:tc>
          <w:tcPr>
            <w:tcW w:w="775" w:type="dxa"/>
            <w:tcBorders>
              <w:left w:val="single" w:sz="4" w:space="0" w:color="auto"/>
            </w:tcBorders>
            <w:shd w:val="clear" w:color="000000" w:fill="FFFFFF"/>
            <w:noWrap/>
            <w:vAlign w:val="center"/>
          </w:tcPr>
          <w:p w14:paraId="6EEC9E13"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789.5</w:t>
            </w:r>
          </w:p>
        </w:tc>
        <w:tc>
          <w:tcPr>
            <w:tcW w:w="992" w:type="dxa"/>
            <w:shd w:val="clear" w:color="000000" w:fill="FFFFFF"/>
            <w:noWrap/>
            <w:vAlign w:val="center"/>
          </w:tcPr>
          <w:p w14:paraId="067923AF"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1.7</w:t>
            </w:r>
          </w:p>
        </w:tc>
        <w:tc>
          <w:tcPr>
            <w:tcW w:w="851" w:type="dxa"/>
            <w:tcBorders>
              <w:right w:val="single" w:sz="4" w:space="0" w:color="auto"/>
            </w:tcBorders>
            <w:shd w:val="clear" w:color="000000" w:fill="FFFFFF"/>
            <w:noWrap/>
            <w:vAlign w:val="center"/>
          </w:tcPr>
          <w:p w14:paraId="705AAFE3"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791.2</w:t>
            </w:r>
          </w:p>
        </w:tc>
        <w:tc>
          <w:tcPr>
            <w:tcW w:w="900" w:type="dxa"/>
            <w:tcBorders>
              <w:left w:val="single" w:sz="4" w:space="0" w:color="auto"/>
            </w:tcBorders>
            <w:shd w:val="clear" w:color="000000" w:fill="FFFFFF"/>
            <w:noWrap/>
            <w:vAlign w:val="center"/>
          </w:tcPr>
          <w:p w14:paraId="621A83F6"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598.9</w:t>
            </w:r>
          </w:p>
        </w:tc>
        <w:tc>
          <w:tcPr>
            <w:tcW w:w="0" w:type="auto"/>
            <w:shd w:val="clear" w:color="000000" w:fill="FFFFFF"/>
            <w:noWrap/>
            <w:vAlign w:val="center"/>
          </w:tcPr>
          <w:p w14:paraId="2E454ECF"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3.6</w:t>
            </w:r>
          </w:p>
        </w:tc>
        <w:tc>
          <w:tcPr>
            <w:tcW w:w="898" w:type="dxa"/>
            <w:tcBorders>
              <w:right w:val="single" w:sz="4" w:space="0" w:color="auto"/>
            </w:tcBorders>
            <w:shd w:val="clear" w:color="000000" w:fill="FFFFFF"/>
            <w:noWrap/>
            <w:vAlign w:val="center"/>
          </w:tcPr>
          <w:p w14:paraId="33ED17E4"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602.5</w:t>
            </w:r>
          </w:p>
        </w:tc>
        <w:tc>
          <w:tcPr>
            <w:tcW w:w="714" w:type="dxa"/>
            <w:tcBorders>
              <w:left w:val="single" w:sz="4" w:space="0" w:color="auto"/>
            </w:tcBorders>
            <w:shd w:val="clear" w:color="000000" w:fill="FFFFFF"/>
            <w:vAlign w:val="center"/>
          </w:tcPr>
          <w:p w14:paraId="29BA649D"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32%</w:t>
            </w:r>
          </w:p>
        </w:tc>
        <w:tc>
          <w:tcPr>
            <w:tcW w:w="703" w:type="dxa"/>
            <w:shd w:val="clear" w:color="000000" w:fill="FFFFFF"/>
            <w:vAlign w:val="center"/>
          </w:tcPr>
          <w:p w14:paraId="6EB2AC41"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31%</w:t>
            </w:r>
          </w:p>
        </w:tc>
      </w:tr>
      <w:tr w:rsidR="0044035E" w:rsidRPr="00CA4A72" w14:paraId="0BE9C054" w14:textId="77777777" w:rsidTr="006A1A41">
        <w:trPr>
          <w:trHeight w:val="170"/>
        </w:trPr>
        <w:tc>
          <w:tcPr>
            <w:tcW w:w="2901" w:type="dxa"/>
            <w:tcBorders>
              <w:top w:val="nil"/>
              <w:bottom w:val="nil"/>
              <w:right w:val="single" w:sz="4" w:space="0" w:color="auto"/>
            </w:tcBorders>
            <w:vAlign w:val="center"/>
            <w:hideMark/>
          </w:tcPr>
          <w:p w14:paraId="792C5F65" w14:textId="77777777" w:rsidR="0044035E" w:rsidRPr="00CA4A72" w:rsidRDefault="0044035E" w:rsidP="006A1A41">
            <w:pPr>
              <w:spacing w:line="276" w:lineRule="auto"/>
              <w:rPr>
                <w:rFonts w:asciiTheme="minorHAnsi" w:eastAsia="Times New Roman" w:hAnsiTheme="minorHAnsi" w:cstheme="minorHAnsi"/>
                <w:i/>
                <w:iCs/>
                <w:sz w:val="12"/>
                <w:szCs w:val="12"/>
                <w:lang w:eastAsia="en-GB"/>
              </w:rPr>
            </w:pPr>
            <w:r w:rsidRPr="00CA4A72">
              <w:rPr>
                <w:rFonts w:asciiTheme="minorHAnsi" w:hAnsiTheme="minorHAnsi" w:cstheme="minorHAnsi"/>
                <w:i/>
                <w:iCs/>
                <w:sz w:val="12"/>
                <w:szCs w:val="12"/>
              </w:rPr>
              <w:t xml:space="preserve">     Recurring portion of Software revenue</w:t>
            </w:r>
          </w:p>
        </w:tc>
        <w:tc>
          <w:tcPr>
            <w:tcW w:w="775" w:type="dxa"/>
            <w:tcBorders>
              <w:left w:val="single" w:sz="4" w:space="0" w:color="auto"/>
            </w:tcBorders>
            <w:shd w:val="clear" w:color="000000" w:fill="FFFFFF"/>
            <w:noWrap/>
            <w:vAlign w:val="center"/>
          </w:tcPr>
          <w:p w14:paraId="36549C87" w14:textId="77777777" w:rsidR="0044035E" w:rsidRPr="00A455FD" w:rsidRDefault="0044035E" w:rsidP="006A1A41">
            <w:pPr>
              <w:spacing w:line="276" w:lineRule="auto"/>
              <w:jc w:val="center"/>
              <w:rPr>
                <w:rFonts w:asciiTheme="minorHAnsi" w:eastAsia="Times New Roman" w:hAnsiTheme="minorHAnsi" w:cstheme="minorHAnsi"/>
                <w:i/>
                <w:iCs/>
                <w:sz w:val="12"/>
                <w:szCs w:val="12"/>
                <w:highlight w:val="yellow"/>
                <w:lang w:eastAsia="en-GB"/>
              </w:rPr>
            </w:pPr>
            <w:r w:rsidRPr="00A455FD">
              <w:rPr>
                <w:rFonts w:asciiTheme="minorHAnsi" w:hAnsiTheme="minorHAnsi" w:cstheme="minorHAnsi"/>
                <w:i/>
                <w:iCs/>
                <w:color w:val="000000"/>
                <w:sz w:val="12"/>
                <w:szCs w:val="12"/>
              </w:rPr>
              <w:t>82%</w:t>
            </w:r>
          </w:p>
        </w:tc>
        <w:tc>
          <w:tcPr>
            <w:tcW w:w="992" w:type="dxa"/>
            <w:shd w:val="clear" w:color="000000" w:fill="FFFFFF"/>
            <w:noWrap/>
            <w:vAlign w:val="center"/>
          </w:tcPr>
          <w:p w14:paraId="6705C42D" w14:textId="77777777" w:rsidR="0044035E" w:rsidRPr="00A455FD" w:rsidRDefault="0044035E" w:rsidP="006A1A41">
            <w:pPr>
              <w:spacing w:line="276" w:lineRule="auto"/>
              <w:jc w:val="center"/>
              <w:rPr>
                <w:rFonts w:asciiTheme="minorHAnsi" w:eastAsia="Times New Roman" w:hAnsiTheme="minorHAnsi" w:cstheme="minorHAnsi"/>
                <w:i/>
                <w:iCs/>
                <w:sz w:val="12"/>
                <w:szCs w:val="12"/>
                <w:highlight w:val="yellow"/>
                <w:lang w:eastAsia="en-GB"/>
              </w:rPr>
            </w:pPr>
          </w:p>
        </w:tc>
        <w:tc>
          <w:tcPr>
            <w:tcW w:w="851" w:type="dxa"/>
            <w:tcBorders>
              <w:right w:val="single" w:sz="4" w:space="0" w:color="auto"/>
            </w:tcBorders>
            <w:shd w:val="clear" w:color="000000" w:fill="FFFFFF"/>
            <w:noWrap/>
            <w:vAlign w:val="center"/>
          </w:tcPr>
          <w:p w14:paraId="6343EA15" w14:textId="77777777" w:rsidR="0044035E" w:rsidRPr="00A455FD" w:rsidRDefault="0044035E" w:rsidP="006A1A41">
            <w:pPr>
              <w:spacing w:line="276" w:lineRule="auto"/>
              <w:jc w:val="center"/>
              <w:rPr>
                <w:rFonts w:asciiTheme="minorHAnsi" w:eastAsia="Times New Roman" w:hAnsiTheme="minorHAnsi" w:cstheme="minorHAnsi"/>
                <w:i/>
                <w:iCs/>
                <w:sz w:val="12"/>
                <w:szCs w:val="12"/>
                <w:highlight w:val="yellow"/>
                <w:lang w:eastAsia="en-GB"/>
              </w:rPr>
            </w:pPr>
            <w:r w:rsidRPr="00A455FD">
              <w:rPr>
                <w:rFonts w:asciiTheme="minorHAnsi" w:hAnsiTheme="minorHAnsi" w:cstheme="minorHAnsi"/>
                <w:i/>
                <w:iCs/>
                <w:color w:val="000000"/>
                <w:sz w:val="12"/>
                <w:szCs w:val="12"/>
              </w:rPr>
              <w:t>82%</w:t>
            </w:r>
          </w:p>
        </w:tc>
        <w:tc>
          <w:tcPr>
            <w:tcW w:w="900" w:type="dxa"/>
            <w:tcBorders>
              <w:left w:val="single" w:sz="4" w:space="0" w:color="auto"/>
            </w:tcBorders>
            <w:shd w:val="clear" w:color="000000" w:fill="FFFFFF"/>
            <w:noWrap/>
            <w:vAlign w:val="center"/>
          </w:tcPr>
          <w:p w14:paraId="3F780B82" w14:textId="77777777" w:rsidR="0044035E" w:rsidRPr="00A455FD" w:rsidRDefault="0044035E" w:rsidP="006A1A41">
            <w:pPr>
              <w:spacing w:line="276" w:lineRule="auto"/>
              <w:jc w:val="center"/>
              <w:rPr>
                <w:rFonts w:asciiTheme="minorHAnsi" w:eastAsia="Times New Roman" w:hAnsiTheme="minorHAnsi" w:cstheme="minorHAnsi"/>
                <w:i/>
                <w:iCs/>
                <w:sz w:val="12"/>
                <w:szCs w:val="12"/>
                <w:highlight w:val="yellow"/>
                <w:lang w:eastAsia="en-GB"/>
              </w:rPr>
            </w:pPr>
            <w:r w:rsidRPr="00A455FD">
              <w:rPr>
                <w:rFonts w:asciiTheme="minorHAnsi" w:hAnsiTheme="minorHAnsi" w:cstheme="minorHAnsi"/>
                <w:i/>
                <w:iCs/>
                <w:color w:val="000000"/>
                <w:sz w:val="12"/>
                <w:szCs w:val="12"/>
              </w:rPr>
              <w:t>71%</w:t>
            </w:r>
          </w:p>
        </w:tc>
        <w:tc>
          <w:tcPr>
            <w:tcW w:w="0" w:type="auto"/>
            <w:shd w:val="clear" w:color="000000" w:fill="FFFFFF"/>
            <w:noWrap/>
            <w:vAlign w:val="center"/>
          </w:tcPr>
          <w:p w14:paraId="7B5E58EF" w14:textId="77777777" w:rsidR="0044035E" w:rsidRPr="00A455FD" w:rsidRDefault="0044035E" w:rsidP="006A1A41">
            <w:pPr>
              <w:spacing w:line="276" w:lineRule="auto"/>
              <w:jc w:val="center"/>
              <w:rPr>
                <w:rFonts w:asciiTheme="minorHAnsi" w:eastAsia="Times New Roman" w:hAnsiTheme="minorHAnsi" w:cstheme="minorHAnsi"/>
                <w:i/>
                <w:iCs/>
                <w:sz w:val="12"/>
                <w:szCs w:val="12"/>
                <w:highlight w:val="yellow"/>
                <w:lang w:eastAsia="en-GB"/>
              </w:rPr>
            </w:pPr>
          </w:p>
        </w:tc>
        <w:tc>
          <w:tcPr>
            <w:tcW w:w="898" w:type="dxa"/>
            <w:tcBorders>
              <w:right w:val="single" w:sz="4" w:space="0" w:color="auto"/>
            </w:tcBorders>
            <w:shd w:val="clear" w:color="000000" w:fill="FFFFFF"/>
            <w:noWrap/>
            <w:vAlign w:val="center"/>
          </w:tcPr>
          <w:p w14:paraId="6D86B970" w14:textId="77777777" w:rsidR="0044035E" w:rsidRPr="00A455FD" w:rsidRDefault="0044035E" w:rsidP="006A1A41">
            <w:pPr>
              <w:spacing w:line="276" w:lineRule="auto"/>
              <w:jc w:val="center"/>
              <w:rPr>
                <w:rFonts w:asciiTheme="minorHAnsi" w:eastAsia="Times New Roman" w:hAnsiTheme="minorHAnsi" w:cstheme="minorHAnsi"/>
                <w:i/>
                <w:iCs/>
                <w:sz w:val="12"/>
                <w:szCs w:val="12"/>
                <w:highlight w:val="yellow"/>
                <w:lang w:eastAsia="en-GB"/>
              </w:rPr>
            </w:pPr>
            <w:r w:rsidRPr="00A455FD">
              <w:rPr>
                <w:rFonts w:asciiTheme="minorHAnsi" w:hAnsiTheme="minorHAnsi" w:cstheme="minorHAnsi"/>
                <w:i/>
                <w:iCs/>
                <w:color w:val="000000"/>
                <w:sz w:val="12"/>
                <w:szCs w:val="12"/>
              </w:rPr>
              <w:t>71%</w:t>
            </w:r>
          </w:p>
        </w:tc>
        <w:tc>
          <w:tcPr>
            <w:tcW w:w="714" w:type="dxa"/>
            <w:tcBorders>
              <w:left w:val="single" w:sz="4" w:space="0" w:color="auto"/>
            </w:tcBorders>
            <w:shd w:val="clear" w:color="000000" w:fill="FFFFFF"/>
            <w:vAlign w:val="center"/>
          </w:tcPr>
          <w:p w14:paraId="6484FE30" w14:textId="77777777" w:rsidR="0044035E" w:rsidRPr="00A455FD" w:rsidRDefault="0044035E" w:rsidP="006A1A41">
            <w:pPr>
              <w:spacing w:line="276" w:lineRule="auto"/>
              <w:jc w:val="center"/>
              <w:rPr>
                <w:rFonts w:asciiTheme="minorHAnsi" w:eastAsia="Times New Roman" w:hAnsiTheme="minorHAnsi" w:cstheme="minorHAnsi"/>
                <w:i/>
                <w:iCs/>
                <w:sz w:val="12"/>
                <w:szCs w:val="12"/>
                <w:highlight w:val="yellow"/>
                <w:lang w:eastAsia="en-GB"/>
              </w:rPr>
            </w:pPr>
          </w:p>
        </w:tc>
        <w:tc>
          <w:tcPr>
            <w:tcW w:w="703" w:type="dxa"/>
            <w:shd w:val="clear" w:color="000000" w:fill="FFFFFF"/>
            <w:vAlign w:val="center"/>
          </w:tcPr>
          <w:p w14:paraId="5D18650E" w14:textId="77777777" w:rsidR="0044035E" w:rsidRPr="00A455FD" w:rsidRDefault="0044035E" w:rsidP="006A1A41">
            <w:pPr>
              <w:spacing w:line="276" w:lineRule="auto"/>
              <w:jc w:val="center"/>
              <w:rPr>
                <w:rFonts w:asciiTheme="minorHAnsi" w:eastAsia="Times New Roman" w:hAnsiTheme="minorHAnsi" w:cstheme="minorHAnsi"/>
                <w:i/>
                <w:iCs/>
                <w:sz w:val="12"/>
                <w:szCs w:val="12"/>
                <w:highlight w:val="yellow"/>
                <w:lang w:eastAsia="en-GB"/>
              </w:rPr>
            </w:pPr>
          </w:p>
        </w:tc>
      </w:tr>
      <w:tr w:rsidR="0044035E" w:rsidRPr="00CA4A72" w14:paraId="4ED4031D" w14:textId="77777777" w:rsidTr="006A1A41">
        <w:trPr>
          <w:trHeight w:val="170"/>
        </w:trPr>
        <w:tc>
          <w:tcPr>
            <w:tcW w:w="2901" w:type="dxa"/>
            <w:tcBorders>
              <w:top w:val="nil"/>
              <w:bottom w:val="nil"/>
              <w:right w:val="single" w:sz="4" w:space="0" w:color="auto"/>
            </w:tcBorders>
            <w:vAlign w:val="center"/>
            <w:hideMark/>
          </w:tcPr>
          <w:p w14:paraId="2183FBC2"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Services revenue</w:t>
            </w:r>
          </w:p>
        </w:tc>
        <w:tc>
          <w:tcPr>
            <w:tcW w:w="775" w:type="dxa"/>
            <w:tcBorders>
              <w:left w:val="single" w:sz="4" w:space="0" w:color="auto"/>
            </w:tcBorders>
            <w:shd w:val="clear" w:color="000000" w:fill="FFFFFF"/>
            <w:noWrap/>
            <w:vAlign w:val="center"/>
          </w:tcPr>
          <w:p w14:paraId="5F5DFF84"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109.9</w:t>
            </w:r>
          </w:p>
        </w:tc>
        <w:tc>
          <w:tcPr>
            <w:tcW w:w="992" w:type="dxa"/>
            <w:shd w:val="clear" w:color="000000" w:fill="FFFFFF"/>
            <w:noWrap/>
            <w:vAlign w:val="center"/>
          </w:tcPr>
          <w:p w14:paraId="34205414"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0.2</w:t>
            </w:r>
          </w:p>
        </w:tc>
        <w:tc>
          <w:tcPr>
            <w:tcW w:w="851" w:type="dxa"/>
            <w:tcBorders>
              <w:right w:val="single" w:sz="4" w:space="0" w:color="auto"/>
            </w:tcBorders>
            <w:shd w:val="clear" w:color="000000" w:fill="FFFFFF"/>
            <w:noWrap/>
            <w:vAlign w:val="center"/>
          </w:tcPr>
          <w:p w14:paraId="57465709"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110.1</w:t>
            </w:r>
          </w:p>
        </w:tc>
        <w:tc>
          <w:tcPr>
            <w:tcW w:w="900" w:type="dxa"/>
            <w:tcBorders>
              <w:left w:val="single" w:sz="4" w:space="0" w:color="auto"/>
            </w:tcBorders>
            <w:shd w:val="clear" w:color="000000" w:fill="FFFFFF"/>
            <w:noWrap/>
            <w:vAlign w:val="center"/>
          </w:tcPr>
          <w:p w14:paraId="4085D0F5"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114.0</w:t>
            </w:r>
          </w:p>
        </w:tc>
        <w:tc>
          <w:tcPr>
            <w:tcW w:w="0" w:type="auto"/>
            <w:shd w:val="clear" w:color="000000" w:fill="FFFFFF"/>
            <w:noWrap/>
            <w:vAlign w:val="center"/>
          </w:tcPr>
          <w:p w14:paraId="68AE14ED" w14:textId="77777777" w:rsidR="0044035E" w:rsidRPr="00A455FD" w:rsidRDefault="0044035E" w:rsidP="006A1A41">
            <w:pPr>
              <w:spacing w:line="276" w:lineRule="auto"/>
              <w:jc w:val="center"/>
              <w:rPr>
                <w:rFonts w:asciiTheme="minorHAnsi" w:eastAsia="Times New Roman" w:hAnsiTheme="minorHAnsi" w:cstheme="minorHAnsi"/>
                <w:iCs/>
                <w:sz w:val="12"/>
                <w:szCs w:val="12"/>
                <w:highlight w:val="yellow"/>
                <w:lang w:eastAsia="en-GB"/>
              </w:rPr>
            </w:pPr>
            <w:r w:rsidRPr="00A455FD">
              <w:rPr>
                <w:rFonts w:asciiTheme="minorHAnsi" w:hAnsiTheme="minorHAnsi" w:cstheme="minorHAnsi"/>
                <w:i/>
                <w:iCs/>
                <w:color w:val="000000"/>
                <w:sz w:val="12"/>
                <w:szCs w:val="12"/>
              </w:rPr>
              <w:t>0.4</w:t>
            </w:r>
          </w:p>
        </w:tc>
        <w:tc>
          <w:tcPr>
            <w:tcW w:w="898" w:type="dxa"/>
            <w:tcBorders>
              <w:right w:val="single" w:sz="4" w:space="0" w:color="auto"/>
            </w:tcBorders>
            <w:shd w:val="clear" w:color="000000" w:fill="FFFFFF"/>
            <w:noWrap/>
            <w:vAlign w:val="center"/>
          </w:tcPr>
          <w:p w14:paraId="7965C4B3"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114.4</w:t>
            </w:r>
          </w:p>
        </w:tc>
        <w:tc>
          <w:tcPr>
            <w:tcW w:w="714" w:type="dxa"/>
            <w:tcBorders>
              <w:left w:val="single" w:sz="4" w:space="0" w:color="auto"/>
            </w:tcBorders>
            <w:shd w:val="clear" w:color="000000" w:fill="FFFFFF"/>
            <w:vAlign w:val="center"/>
          </w:tcPr>
          <w:p w14:paraId="503809DA"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(4)%</w:t>
            </w:r>
          </w:p>
        </w:tc>
        <w:tc>
          <w:tcPr>
            <w:tcW w:w="703" w:type="dxa"/>
            <w:shd w:val="clear" w:color="000000" w:fill="FFFFFF"/>
            <w:vAlign w:val="center"/>
          </w:tcPr>
          <w:p w14:paraId="10DECFBB"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(4)%</w:t>
            </w:r>
          </w:p>
        </w:tc>
      </w:tr>
      <w:tr w:rsidR="0044035E" w:rsidRPr="00CA4A72" w14:paraId="6C864232" w14:textId="77777777" w:rsidTr="006A1A41">
        <w:trPr>
          <w:trHeight w:val="170"/>
        </w:trPr>
        <w:tc>
          <w:tcPr>
            <w:tcW w:w="2901" w:type="dxa"/>
            <w:tcBorders>
              <w:top w:val="nil"/>
              <w:bottom w:val="nil"/>
              <w:right w:val="single" w:sz="4" w:space="0" w:color="auto"/>
            </w:tcBorders>
            <w:vAlign w:val="center"/>
            <w:hideMark/>
          </w:tcPr>
          <w:p w14:paraId="368842A2" w14:textId="77777777" w:rsidR="0044035E" w:rsidRPr="00CA4A72" w:rsidRDefault="0044035E" w:rsidP="006A1A41">
            <w:pPr>
              <w:spacing w:line="276" w:lineRule="auto"/>
              <w:rPr>
                <w:rFonts w:asciiTheme="minorHAnsi" w:eastAsia="Times New Roman" w:hAnsiTheme="minorHAnsi" w:cstheme="minorHAnsi"/>
                <w:b/>
                <w:bCs/>
                <w:sz w:val="12"/>
                <w:szCs w:val="12"/>
                <w:lang w:eastAsia="en-GB"/>
              </w:rPr>
            </w:pPr>
            <w:r w:rsidRPr="00CA4A72">
              <w:rPr>
                <w:rFonts w:asciiTheme="minorHAnsi" w:hAnsiTheme="minorHAnsi" w:cstheme="minorHAnsi"/>
                <w:b/>
                <w:bCs/>
                <w:sz w:val="12"/>
                <w:szCs w:val="12"/>
              </w:rPr>
              <w:t>Total Software Revenue breakdown by product line</w:t>
            </w:r>
          </w:p>
        </w:tc>
        <w:tc>
          <w:tcPr>
            <w:tcW w:w="775" w:type="dxa"/>
            <w:tcBorders>
              <w:left w:val="single" w:sz="4" w:space="0" w:color="auto"/>
            </w:tcBorders>
            <w:shd w:val="clear" w:color="000000" w:fill="FFFFFF"/>
            <w:vAlign w:val="center"/>
          </w:tcPr>
          <w:p w14:paraId="24710530"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992" w:type="dxa"/>
            <w:shd w:val="clear" w:color="000000" w:fill="FFFFFF"/>
            <w:vAlign w:val="center"/>
          </w:tcPr>
          <w:p w14:paraId="1EE0CF17"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851" w:type="dxa"/>
            <w:tcBorders>
              <w:right w:val="single" w:sz="4" w:space="0" w:color="auto"/>
            </w:tcBorders>
            <w:shd w:val="clear" w:color="000000" w:fill="FFFFFF"/>
            <w:vAlign w:val="center"/>
          </w:tcPr>
          <w:p w14:paraId="3175783A"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900" w:type="dxa"/>
            <w:tcBorders>
              <w:left w:val="single" w:sz="4" w:space="0" w:color="auto"/>
            </w:tcBorders>
            <w:shd w:val="clear" w:color="000000" w:fill="FFFFFF"/>
            <w:vAlign w:val="center"/>
          </w:tcPr>
          <w:p w14:paraId="02921EDE"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0" w:type="auto"/>
            <w:shd w:val="clear" w:color="000000" w:fill="FFFFFF"/>
            <w:vAlign w:val="center"/>
          </w:tcPr>
          <w:p w14:paraId="3AB6DD4D"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898" w:type="dxa"/>
            <w:tcBorders>
              <w:right w:val="single" w:sz="4" w:space="0" w:color="auto"/>
            </w:tcBorders>
            <w:shd w:val="clear" w:color="000000" w:fill="FFFFFF"/>
            <w:vAlign w:val="center"/>
          </w:tcPr>
          <w:p w14:paraId="1454A4BA"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714" w:type="dxa"/>
            <w:tcBorders>
              <w:left w:val="single" w:sz="4" w:space="0" w:color="auto"/>
            </w:tcBorders>
            <w:shd w:val="clear" w:color="000000" w:fill="FFFFFF"/>
            <w:vAlign w:val="center"/>
          </w:tcPr>
          <w:p w14:paraId="0E401E35"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703" w:type="dxa"/>
            <w:shd w:val="clear" w:color="000000" w:fill="FFFFFF"/>
            <w:vAlign w:val="center"/>
          </w:tcPr>
          <w:p w14:paraId="4CD3984B"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r>
      <w:tr w:rsidR="0044035E" w:rsidRPr="00CA4A72" w14:paraId="312B0811" w14:textId="77777777" w:rsidTr="006A1A41">
        <w:trPr>
          <w:trHeight w:val="170"/>
        </w:trPr>
        <w:tc>
          <w:tcPr>
            <w:tcW w:w="2901" w:type="dxa"/>
            <w:tcBorders>
              <w:top w:val="nil"/>
              <w:bottom w:val="nil"/>
              <w:right w:val="single" w:sz="4" w:space="0" w:color="auto"/>
            </w:tcBorders>
            <w:hideMark/>
          </w:tcPr>
          <w:p w14:paraId="75A666E8" w14:textId="77777777" w:rsidR="0044035E" w:rsidRPr="00D27EF3" w:rsidRDefault="0044035E" w:rsidP="006A1A41">
            <w:pPr>
              <w:spacing w:line="276" w:lineRule="auto"/>
              <w:rPr>
                <w:rFonts w:asciiTheme="minorHAnsi" w:eastAsia="Times New Roman" w:hAnsiTheme="minorHAnsi" w:cstheme="minorHAnsi"/>
                <w:sz w:val="12"/>
                <w:szCs w:val="12"/>
                <w:lang w:eastAsia="en-GB"/>
              </w:rPr>
            </w:pPr>
            <w:r>
              <w:rPr>
                <w:sz w:val="12"/>
                <w:szCs w:val="12"/>
              </w:rPr>
              <w:t>Industrial Innovation</w:t>
            </w:r>
          </w:p>
        </w:tc>
        <w:tc>
          <w:tcPr>
            <w:tcW w:w="775" w:type="dxa"/>
            <w:tcBorders>
              <w:left w:val="single" w:sz="4" w:space="0" w:color="auto"/>
            </w:tcBorders>
            <w:shd w:val="clear" w:color="000000" w:fill="FFFFFF"/>
            <w:noWrap/>
            <w:vAlign w:val="center"/>
          </w:tcPr>
          <w:p w14:paraId="0BC6BE1B"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545.6</w:t>
            </w:r>
          </w:p>
        </w:tc>
        <w:tc>
          <w:tcPr>
            <w:tcW w:w="992" w:type="dxa"/>
            <w:shd w:val="clear" w:color="000000" w:fill="FFFFFF"/>
            <w:noWrap/>
            <w:vAlign w:val="center"/>
          </w:tcPr>
          <w:p w14:paraId="6277D3F8"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0.0</w:t>
            </w:r>
          </w:p>
        </w:tc>
        <w:tc>
          <w:tcPr>
            <w:tcW w:w="851" w:type="dxa"/>
            <w:tcBorders>
              <w:right w:val="single" w:sz="4" w:space="0" w:color="auto"/>
            </w:tcBorders>
            <w:shd w:val="clear" w:color="000000" w:fill="FFFFFF"/>
            <w:noWrap/>
            <w:vAlign w:val="center"/>
          </w:tcPr>
          <w:p w14:paraId="2A0BB9D8"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545.7</w:t>
            </w:r>
          </w:p>
        </w:tc>
        <w:tc>
          <w:tcPr>
            <w:tcW w:w="900" w:type="dxa"/>
            <w:tcBorders>
              <w:left w:val="single" w:sz="4" w:space="0" w:color="auto"/>
            </w:tcBorders>
            <w:shd w:val="clear" w:color="000000" w:fill="FFFFFF"/>
            <w:noWrap/>
            <w:vAlign w:val="center"/>
          </w:tcPr>
          <w:p w14:paraId="1EE56AC3"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597.1</w:t>
            </w:r>
          </w:p>
        </w:tc>
        <w:tc>
          <w:tcPr>
            <w:tcW w:w="0" w:type="auto"/>
            <w:shd w:val="clear" w:color="000000" w:fill="FFFFFF"/>
            <w:noWrap/>
            <w:vAlign w:val="center"/>
          </w:tcPr>
          <w:p w14:paraId="623D85C4"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898" w:type="dxa"/>
            <w:tcBorders>
              <w:right w:val="single" w:sz="4" w:space="0" w:color="auto"/>
            </w:tcBorders>
            <w:shd w:val="clear" w:color="000000" w:fill="FFFFFF"/>
            <w:noWrap/>
            <w:vAlign w:val="center"/>
          </w:tcPr>
          <w:p w14:paraId="6D41A29E"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597.1</w:t>
            </w:r>
          </w:p>
        </w:tc>
        <w:tc>
          <w:tcPr>
            <w:tcW w:w="714" w:type="dxa"/>
            <w:tcBorders>
              <w:left w:val="single" w:sz="4" w:space="0" w:color="auto"/>
            </w:tcBorders>
            <w:shd w:val="clear" w:color="000000" w:fill="FFFFFF"/>
            <w:noWrap/>
            <w:vAlign w:val="center"/>
          </w:tcPr>
          <w:p w14:paraId="0A086F41"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(9)%</w:t>
            </w:r>
          </w:p>
        </w:tc>
        <w:tc>
          <w:tcPr>
            <w:tcW w:w="703" w:type="dxa"/>
            <w:shd w:val="clear" w:color="000000" w:fill="FFFFFF"/>
            <w:noWrap/>
            <w:vAlign w:val="center"/>
          </w:tcPr>
          <w:p w14:paraId="00A0BACD"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(9)%</w:t>
            </w:r>
          </w:p>
        </w:tc>
      </w:tr>
      <w:tr w:rsidR="0044035E" w:rsidRPr="00CA4A72" w14:paraId="3927500B" w14:textId="77777777" w:rsidTr="006A1A41">
        <w:trPr>
          <w:trHeight w:val="170"/>
        </w:trPr>
        <w:tc>
          <w:tcPr>
            <w:tcW w:w="2901" w:type="dxa"/>
            <w:tcBorders>
              <w:top w:val="nil"/>
              <w:bottom w:val="nil"/>
              <w:right w:val="single" w:sz="4" w:space="0" w:color="auto"/>
            </w:tcBorders>
          </w:tcPr>
          <w:p w14:paraId="5AE1337D" w14:textId="77777777" w:rsidR="0044035E" w:rsidRPr="00D27EF3" w:rsidRDefault="0044035E" w:rsidP="006A1A41">
            <w:pPr>
              <w:spacing w:line="276" w:lineRule="auto"/>
              <w:ind w:firstLineChars="100" w:firstLine="120"/>
              <w:rPr>
                <w:rFonts w:asciiTheme="minorHAnsi" w:hAnsiTheme="minorHAnsi" w:cstheme="minorHAnsi"/>
                <w:i/>
                <w:sz w:val="12"/>
                <w:szCs w:val="12"/>
                <w:highlight w:val="yellow"/>
              </w:rPr>
            </w:pPr>
            <w:r w:rsidRPr="00D27EF3">
              <w:rPr>
                <w:i/>
                <w:sz w:val="12"/>
                <w:szCs w:val="12"/>
              </w:rPr>
              <w:t>Of which CATIA</w:t>
            </w:r>
          </w:p>
        </w:tc>
        <w:tc>
          <w:tcPr>
            <w:tcW w:w="775" w:type="dxa"/>
            <w:tcBorders>
              <w:left w:val="single" w:sz="4" w:space="0" w:color="auto"/>
            </w:tcBorders>
            <w:shd w:val="clear" w:color="000000" w:fill="FFFFFF"/>
            <w:noWrap/>
            <w:vAlign w:val="center"/>
          </w:tcPr>
          <w:p w14:paraId="0C813A69" w14:textId="77777777" w:rsidR="0044035E" w:rsidRPr="00A455FD" w:rsidRDefault="0044035E" w:rsidP="006A1A41">
            <w:pPr>
              <w:spacing w:line="276" w:lineRule="auto"/>
              <w:jc w:val="center"/>
              <w:rPr>
                <w:rFonts w:asciiTheme="minorHAnsi" w:eastAsia="Times New Roman" w:hAnsiTheme="minorHAnsi" w:cstheme="minorHAnsi"/>
                <w:i/>
                <w:sz w:val="12"/>
                <w:szCs w:val="12"/>
                <w:highlight w:val="yellow"/>
                <w:lang w:eastAsia="en-GB"/>
              </w:rPr>
            </w:pPr>
            <w:r w:rsidRPr="00A455FD">
              <w:rPr>
                <w:rFonts w:asciiTheme="minorHAnsi" w:hAnsiTheme="minorHAnsi" w:cstheme="minorHAnsi"/>
                <w:i/>
                <w:iCs/>
                <w:color w:val="000000"/>
                <w:sz w:val="12"/>
                <w:szCs w:val="12"/>
              </w:rPr>
              <w:t>251.5</w:t>
            </w:r>
          </w:p>
        </w:tc>
        <w:tc>
          <w:tcPr>
            <w:tcW w:w="992" w:type="dxa"/>
            <w:shd w:val="clear" w:color="000000" w:fill="FFFFFF"/>
            <w:noWrap/>
            <w:vAlign w:val="center"/>
          </w:tcPr>
          <w:p w14:paraId="54AA90D4" w14:textId="77777777" w:rsidR="0044035E" w:rsidRPr="0073725B" w:rsidRDefault="0044035E" w:rsidP="006A1A41">
            <w:pPr>
              <w:spacing w:line="276" w:lineRule="auto"/>
              <w:jc w:val="center"/>
              <w:rPr>
                <w:rFonts w:asciiTheme="minorHAnsi" w:hAnsiTheme="minorHAnsi" w:cstheme="minorHAnsi"/>
                <w:i/>
                <w:sz w:val="12"/>
                <w:szCs w:val="12"/>
                <w:highlight w:val="yellow"/>
                <w:lang w:eastAsia="zh-CN"/>
              </w:rPr>
            </w:pPr>
          </w:p>
        </w:tc>
        <w:tc>
          <w:tcPr>
            <w:tcW w:w="851" w:type="dxa"/>
            <w:tcBorders>
              <w:right w:val="single" w:sz="4" w:space="0" w:color="auto"/>
            </w:tcBorders>
            <w:shd w:val="clear" w:color="000000" w:fill="FFFFFF"/>
            <w:noWrap/>
            <w:vAlign w:val="center"/>
          </w:tcPr>
          <w:p w14:paraId="2E83082F" w14:textId="77777777" w:rsidR="0044035E" w:rsidRPr="00A455FD" w:rsidRDefault="0044035E" w:rsidP="006A1A41">
            <w:pPr>
              <w:spacing w:line="276" w:lineRule="auto"/>
              <w:jc w:val="center"/>
              <w:rPr>
                <w:rFonts w:asciiTheme="minorHAnsi" w:eastAsia="Times New Roman" w:hAnsiTheme="minorHAnsi" w:cstheme="minorHAnsi"/>
                <w:i/>
                <w:sz w:val="12"/>
                <w:szCs w:val="12"/>
                <w:highlight w:val="yellow"/>
                <w:lang w:eastAsia="en-GB"/>
              </w:rPr>
            </w:pPr>
            <w:r w:rsidRPr="00A455FD">
              <w:rPr>
                <w:rFonts w:asciiTheme="minorHAnsi" w:hAnsiTheme="minorHAnsi" w:cstheme="minorHAnsi"/>
                <w:i/>
                <w:iCs/>
                <w:color w:val="000000"/>
                <w:sz w:val="12"/>
                <w:szCs w:val="12"/>
              </w:rPr>
              <w:t>251.5</w:t>
            </w:r>
          </w:p>
        </w:tc>
        <w:tc>
          <w:tcPr>
            <w:tcW w:w="900" w:type="dxa"/>
            <w:tcBorders>
              <w:left w:val="single" w:sz="4" w:space="0" w:color="auto"/>
            </w:tcBorders>
            <w:shd w:val="clear" w:color="000000" w:fill="FFFFFF"/>
            <w:noWrap/>
            <w:vAlign w:val="center"/>
          </w:tcPr>
          <w:p w14:paraId="73DDAD84" w14:textId="77777777" w:rsidR="0044035E" w:rsidRPr="00A455FD" w:rsidRDefault="0044035E" w:rsidP="006A1A41">
            <w:pPr>
              <w:spacing w:line="276" w:lineRule="auto"/>
              <w:jc w:val="center"/>
              <w:rPr>
                <w:rFonts w:asciiTheme="minorHAnsi" w:eastAsia="Times New Roman" w:hAnsiTheme="minorHAnsi" w:cstheme="minorHAnsi"/>
                <w:i/>
                <w:sz w:val="12"/>
                <w:szCs w:val="12"/>
                <w:highlight w:val="yellow"/>
                <w:lang w:eastAsia="en-GB"/>
              </w:rPr>
            </w:pPr>
            <w:r w:rsidRPr="00A455FD">
              <w:rPr>
                <w:rFonts w:asciiTheme="minorHAnsi" w:hAnsiTheme="minorHAnsi" w:cstheme="minorHAnsi"/>
                <w:i/>
                <w:iCs/>
                <w:color w:val="000000"/>
                <w:sz w:val="12"/>
                <w:szCs w:val="12"/>
              </w:rPr>
              <w:t>280.4</w:t>
            </w:r>
          </w:p>
        </w:tc>
        <w:tc>
          <w:tcPr>
            <w:tcW w:w="0" w:type="auto"/>
            <w:shd w:val="clear" w:color="000000" w:fill="FFFFFF"/>
            <w:noWrap/>
            <w:vAlign w:val="center"/>
          </w:tcPr>
          <w:p w14:paraId="1A5694DF" w14:textId="77777777" w:rsidR="0044035E" w:rsidRPr="00A455FD" w:rsidRDefault="0044035E" w:rsidP="006A1A41">
            <w:pPr>
              <w:spacing w:line="276" w:lineRule="auto"/>
              <w:jc w:val="center"/>
              <w:rPr>
                <w:rFonts w:asciiTheme="minorHAnsi" w:eastAsia="Times New Roman" w:hAnsiTheme="minorHAnsi" w:cstheme="minorHAnsi"/>
                <w:i/>
                <w:sz w:val="12"/>
                <w:szCs w:val="12"/>
                <w:highlight w:val="yellow"/>
                <w:lang w:eastAsia="en-GB"/>
              </w:rPr>
            </w:pPr>
          </w:p>
        </w:tc>
        <w:tc>
          <w:tcPr>
            <w:tcW w:w="898" w:type="dxa"/>
            <w:tcBorders>
              <w:right w:val="single" w:sz="4" w:space="0" w:color="auto"/>
            </w:tcBorders>
            <w:shd w:val="clear" w:color="000000" w:fill="FFFFFF"/>
            <w:noWrap/>
            <w:vAlign w:val="center"/>
          </w:tcPr>
          <w:p w14:paraId="0699E27E" w14:textId="77777777" w:rsidR="0044035E" w:rsidRPr="00A455FD" w:rsidRDefault="0044035E" w:rsidP="006A1A41">
            <w:pPr>
              <w:spacing w:line="276" w:lineRule="auto"/>
              <w:jc w:val="center"/>
              <w:rPr>
                <w:rFonts w:asciiTheme="minorHAnsi" w:eastAsia="Times New Roman" w:hAnsiTheme="minorHAnsi" w:cstheme="minorHAnsi"/>
                <w:i/>
                <w:sz w:val="12"/>
                <w:szCs w:val="12"/>
                <w:highlight w:val="yellow"/>
                <w:lang w:eastAsia="en-GB"/>
              </w:rPr>
            </w:pPr>
            <w:r w:rsidRPr="00A455FD">
              <w:rPr>
                <w:rFonts w:asciiTheme="minorHAnsi" w:hAnsiTheme="minorHAnsi" w:cstheme="minorHAnsi"/>
                <w:i/>
                <w:iCs/>
                <w:color w:val="000000"/>
                <w:sz w:val="12"/>
                <w:szCs w:val="12"/>
              </w:rPr>
              <w:t>280.4</w:t>
            </w:r>
          </w:p>
        </w:tc>
        <w:tc>
          <w:tcPr>
            <w:tcW w:w="714" w:type="dxa"/>
            <w:tcBorders>
              <w:left w:val="single" w:sz="4" w:space="0" w:color="auto"/>
            </w:tcBorders>
            <w:shd w:val="clear" w:color="000000" w:fill="FFFFFF"/>
            <w:noWrap/>
            <w:vAlign w:val="center"/>
          </w:tcPr>
          <w:p w14:paraId="5892A715" w14:textId="77777777" w:rsidR="0044035E" w:rsidRPr="00A455FD" w:rsidRDefault="0044035E" w:rsidP="006A1A41">
            <w:pPr>
              <w:spacing w:line="276" w:lineRule="auto"/>
              <w:jc w:val="center"/>
              <w:rPr>
                <w:rFonts w:asciiTheme="minorHAnsi" w:eastAsia="Times New Roman" w:hAnsiTheme="minorHAnsi" w:cstheme="minorHAnsi"/>
                <w:i/>
                <w:sz w:val="12"/>
                <w:szCs w:val="12"/>
                <w:highlight w:val="yellow"/>
                <w:lang w:eastAsia="en-GB"/>
              </w:rPr>
            </w:pPr>
            <w:r w:rsidRPr="00A455FD">
              <w:rPr>
                <w:rFonts w:asciiTheme="minorHAnsi" w:hAnsiTheme="minorHAnsi" w:cstheme="minorHAnsi"/>
                <w:i/>
                <w:iCs/>
                <w:color w:val="000000"/>
                <w:sz w:val="12"/>
                <w:szCs w:val="12"/>
              </w:rPr>
              <w:t>(10)%</w:t>
            </w:r>
          </w:p>
        </w:tc>
        <w:tc>
          <w:tcPr>
            <w:tcW w:w="703" w:type="dxa"/>
            <w:shd w:val="clear" w:color="000000" w:fill="FFFFFF"/>
            <w:noWrap/>
            <w:vAlign w:val="center"/>
          </w:tcPr>
          <w:p w14:paraId="0D20AA06" w14:textId="77777777" w:rsidR="0044035E" w:rsidRPr="00A455FD" w:rsidRDefault="0044035E" w:rsidP="006A1A41">
            <w:pPr>
              <w:spacing w:line="276" w:lineRule="auto"/>
              <w:jc w:val="center"/>
              <w:rPr>
                <w:rFonts w:asciiTheme="minorHAnsi" w:eastAsia="Times New Roman" w:hAnsiTheme="minorHAnsi" w:cstheme="minorHAnsi"/>
                <w:i/>
                <w:sz w:val="12"/>
                <w:szCs w:val="12"/>
                <w:highlight w:val="yellow"/>
                <w:lang w:eastAsia="en-GB"/>
              </w:rPr>
            </w:pPr>
            <w:r w:rsidRPr="00A455FD">
              <w:rPr>
                <w:rFonts w:asciiTheme="minorHAnsi" w:hAnsiTheme="minorHAnsi" w:cstheme="minorHAnsi"/>
                <w:i/>
                <w:iCs/>
                <w:color w:val="000000"/>
                <w:sz w:val="12"/>
                <w:szCs w:val="12"/>
              </w:rPr>
              <w:t>(10)%</w:t>
            </w:r>
          </w:p>
        </w:tc>
      </w:tr>
      <w:tr w:rsidR="0044035E" w:rsidRPr="00CA4A72" w14:paraId="717176CA" w14:textId="77777777" w:rsidTr="006A1A41">
        <w:trPr>
          <w:trHeight w:val="170"/>
        </w:trPr>
        <w:tc>
          <w:tcPr>
            <w:tcW w:w="2901" w:type="dxa"/>
            <w:tcBorders>
              <w:top w:val="nil"/>
              <w:bottom w:val="nil"/>
              <w:right w:val="single" w:sz="4" w:space="0" w:color="auto"/>
            </w:tcBorders>
          </w:tcPr>
          <w:p w14:paraId="343681C0" w14:textId="77777777" w:rsidR="0044035E" w:rsidRPr="00D27EF3" w:rsidRDefault="0044035E" w:rsidP="006A1A41">
            <w:pPr>
              <w:spacing w:line="276" w:lineRule="auto"/>
              <w:ind w:firstLineChars="100" w:firstLine="120"/>
              <w:rPr>
                <w:rFonts w:asciiTheme="minorHAnsi" w:hAnsiTheme="minorHAnsi" w:cstheme="minorHAnsi"/>
                <w:i/>
                <w:sz w:val="12"/>
                <w:szCs w:val="12"/>
                <w:highlight w:val="yellow"/>
              </w:rPr>
            </w:pPr>
            <w:r w:rsidRPr="00D27EF3">
              <w:rPr>
                <w:i/>
                <w:sz w:val="12"/>
                <w:szCs w:val="12"/>
              </w:rPr>
              <w:t xml:space="preserve">Of which ENOVIA </w:t>
            </w:r>
            <w:r w:rsidRPr="00D27EF3">
              <w:rPr>
                <w:i/>
                <w:sz w:val="12"/>
                <w:szCs w:val="12"/>
                <w:vertAlign w:val="superscript"/>
              </w:rPr>
              <w:t>(2)</w:t>
            </w:r>
          </w:p>
        </w:tc>
        <w:tc>
          <w:tcPr>
            <w:tcW w:w="775" w:type="dxa"/>
            <w:tcBorders>
              <w:left w:val="single" w:sz="4" w:space="0" w:color="auto"/>
            </w:tcBorders>
            <w:shd w:val="clear" w:color="000000" w:fill="FFFFFF"/>
            <w:noWrap/>
            <w:vAlign w:val="center"/>
          </w:tcPr>
          <w:p w14:paraId="2A1C6EBB" w14:textId="77777777" w:rsidR="0044035E" w:rsidRPr="00A455FD" w:rsidRDefault="0044035E" w:rsidP="006A1A41">
            <w:pPr>
              <w:spacing w:line="276" w:lineRule="auto"/>
              <w:jc w:val="center"/>
              <w:rPr>
                <w:rFonts w:asciiTheme="minorHAnsi" w:eastAsia="Times New Roman" w:hAnsiTheme="minorHAnsi" w:cstheme="minorHAnsi"/>
                <w:i/>
                <w:sz w:val="12"/>
                <w:szCs w:val="12"/>
                <w:highlight w:val="yellow"/>
                <w:lang w:eastAsia="en-GB"/>
              </w:rPr>
            </w:pPr>
            <w:r w:rsidRPr="00A455FD">
              <w:rPr>
                <w:rFonts w:asciiTheme="minorHAnsi" w:hAnsiTheme="minorHAnsi" w:cstheme="minorHAnsi"/>
                <w:i/>
                <w:iCs/>
                <w:color w:val="000000"/>
                <w:sz w:val="12"/>
                <w:szCs w:val="12"/>
              </w:rPr>
              <w:t>83.5</w:t>
            </w:r>
          </w:p>
        </w:tc>
        <w:tc>
          <w:tcPr>
            <w:tcW w:w="992" w:type="dxa"/>
            <w:shd w:val="clear" w:color="000000" w:fill="FFFFFF"/>
            <w:noWrap/>
            <w:vAlign w:val="center"/>
          </w:tcPr>
          <w:p w14:paraId="1FD0B674" w14:textId="77777777" w:rsidR="0044035E" w:rsidRPr="00A455FD" w:rsidRDefault="0044035E" w:rsidP="006A1A41">
            <w:pPr>
              <w:spacing w:line="276" w:lineRule="auto"/>
              <w:jc w:val="center"/>
              <w:rPr>
                <w:rFonts w:asciiTheme="minorHAnsi" w:eastAsia="Times New Roman" w:hAnsiTheme="minorHAnsi" w:cstheme="minorHAnsi"/>
                <w:i/>
                <w:sz w:val="12"/>
                <w:szCs w:val="12"/>
                <w:highlight w:val="yellow"/>
                <w:lang w:eastAsia="en-GB"/>
              </w:rPr>
            </w:pPr>
          </w:p>
        </w:tc>
        <w:tc>
          <w:tcPr>
            <w:tcW w:w="851" w:type="dxa"/>
            <w:tcBorders>
              <w:right w:val="single" w:sz="4" w:space="0" w:color="auto"/>
            </w:tcBorders>
            <w:shd w:val="clear" w:color="000000" w:fill="FFFFFF"/>
            <w:noWrap/>
            <w:vAlign w:val="center"/>
          </w:tcPr>
          <w:p w14:paraId="24F454A9" w14:textId="77777777" w:rsidR="0044035E" w:rsidRPr="00A455FD" w:rsidRDefault="0044035E" w:rsidP="006A1A41">
            <w:pPr>
              <w:spacing w:line="276" w:lineRule="auto"/>
              <w:jc w:val="center"/>
              <w:rPr>
                <w:rFonts w:asciiTheme="minorHAnsi" w:eastAsia="Times New Roman" w:hAnsiTheme="minorHAnsi" w:cstheme="minorHAnsi"/>
                <w:i/>
                <w:sz w:val="12"/>
                <w:szCs w:val="12"/>
                <w:highlight w:val="yellow"/>
                <w:lang w:eastAsia="en-GB"/>
              </w:rPr>
            </w:pPr>
            <w:r w:rsidRPr="00A455FD">
              <w:rPr>
                <w:rFonts w:asciiTheme="minorHAnsi" w:hAnsiTheme="minorHAnsi" w:cstheme="minorHAnsi"/>
                <w:i/>
                <w:iCs/>
                <w:color w:val="000000"/>
                <w:sz w:val="12"/>
                <w:szCs w:val="12"/>
              </w:rPr>
              <w:t>83.5</w:t>
            </w:r>
          </w:p>
        </w:tc>
        <w:tc>
          <w:tcPr>
            <w:tcW w:w="900" w:type="dxa"/>
            <w:tcBorders>
              <w:left w:val="single" w:sz="4" w:space="0" w:color="auto"/>
            </w:tcBorders>
            <w:shd w:val="clear" w:color="000000" w:fill="FFFFFF"/>
            <w:noWrap/>
            <w:vAlign w:val="center"/>
          </w:tcPr>
          <w:p w14:paraId="4C60AD0A" w14:textId="77777777" w:rsidR="0044035E" w:rsidRPr="00A455FD" w:rsidRDefault="0044035E" w:rsidP="006A1A41">
            <w:pPr>
              <w:spacing w:line="276" w:lineRule="auto"/>
              <w:jc w:val="center"/>
              <w:rPr>
                <w:rFonts w:asciiTheme="minorHAnsi" w:eastAsia="Times New Roman" w:hAnsiTheme="minorHAnsi" w:cstheme="minorHAnsi"/>
                <w:i/>
                <w:sz w:val="12"/>
                <w:szCs w:val="12"/>
                <w:highlight w:val="yellow"/>
                <w:lang w:eastAsia="en-GB"/>
              </w:rPr>
            </w:pPr>
            <w:r w:rsidRPr="00A455FD">
              <w:rPr>
                <w:rFonts w:asciiTheme="minorHAnsi" w:hAnsiTheme="minorHAnsi" w:cstheme="minorHAnsi"/>
                <w:i/>
                <w:iCs/>
                <w:color w:val="000000"/>
                <w:sz w:val="12"/>
                <w:szCs w:val="12"/>
              </w:rPr>
              <w:t>93.4</w:t>
            </w:r>
          </w:p>
        </w:tc>
        <w:tc>
          <w:tcPr>
            <w:tcW w:w="0" w:type="auto"/>
            <w:shd w:val="clear" w:color="000000" w:fill="FFFFFF"/>
            <w:noWrap/>
            <w:vAlign w:val="center"/>
          </w:tcPr>
          <w:p w14:paraId="33DB23B6" w14:textId="77777777" w:rsidR="0044035E" w:rsidRPr="00A455FD" w:rsidRDefault="0044035E" w:rsidP="006A1A41">
            <w:pPr>
              <w:spacing w:line="276" w:lineRule="auto"/>
              <w:jc w:val="center"/>
              <w:rPr>
                <w:rFonts w:asciiTheme="minorHAnsi" w:eastAsia="Times New Roman" w:hAnsiTheme="minorHAnsi" w:cstheme="minorHAnsi"/>
                <w:i/>
                <w:sz w:val="12"/>
                <w:szCs w:val="12"/>
                <w:highlight w:val="yellow"/>
                <w:lang w:eastAsia="en-GB"/>
              </w:rPr>
            </w:pPr>
          </w:p>
        </w:tc>
        <w:tc>
          <w:tcPr>
            <w:tcW w:w="898" w:type="dxa"/>
            <w:tcBorders>
              <w:right w:val="single" w:sz="4" w:space="0" w:color="auto"/>
            </w:tcBorders>
            <w:shd w:val="clear" w:color="000000" w:fill="FFFFFF"/>
            <w:noWrap/>
            <w:vAlign w:val="center"/>
          </w:tcPr>
          <w:p w14:paraId="78F5D71A" w14:textId="77777777" w:rsidR="0044035E" w:rsidRPr="00A455FD" w:rsidRDefault="0044035E" w:rsidP="006A1A41">
            <w:pPr>
              <w:spacing w:line="276" w:lineRule="auto"/>
              <w:jc w:val="center"/>
              <w:rPr>
                <w:rFonts w:asciiTheme="minorHAnsi" w:eastAsia="Times New Roman" w:hAnsiTheme="minorHAnsi" w:cstheme="minorHAnsi"/>
                <w:i/>
                <w:sz w:val="12"/>
                <w:szCs w:val="12"/>
                <w:highlight w:val="yellow"/>
                <w:lang w:eastAsia="en-GB"/>
              </w:rPr>
            </w:pPr>
            <w:r w:rsidRPr="00A455FD">
              <w:rPr>
                <w:rFonts w:asciiTheme="minorHAnsi" w:hAnsiTheme="minorHAnsi" w:cstheme="minorHAnsi"/>
                <w:i/>
                <w:iCs/>
                <w:color w:val="000000"/>
                <w:sz w:val="12"/>
                <w:szCs w:val="12"/>
              </w:rPr>
              <w:t>93.4</w:t>
            </w:r>
          </w:p>
        </w:tc>
        <w:tc>
          <w:tcPr>
            <w:tcW w:w="714" w:type="dxa"/>
            <w:tcBorders>
              <w:left w:val="single" w:sz="4" w:space="0" w:color="auto"/>
            </w:tcBorders>
            <w:shd w:val="clear" w:color="000000" w:fill="FFFFFF"/>
            <w:noWrap/>
            <w:vAlign w:val="center"/>
          </w:tcPr>
          <w:p w14:paraId="0A4A066C" w14:textId="77777777" w:rsidR="0044035E" w:rsidRPr="00A455FD" w:rsidRDefault="0044035E" w:rsidP="006A1A41">
            <w:pPr>
              <w:spacing w:line="276" w:lineRule="auto"/>
              <w:jc w:val="center"/>
              <w:rPr>
                <w:rFonts w:asciiTheme="minorHAnsi" w:eastAsia="Times New Roman" w:hAnsiTheme="minorHAnsi" w:cstheme="minorHAnsi"/>
                <w:i/>
                <w:sz w:val="12"/>
                <w:szCs w:val="12"/>
                <w:highlight w:val="yellow"/>
                <w:lang w:eastAsia="en-GB"/>
              </w:rPr>
            </w:pPr>
            <w:r w:rsidRPr="00A455FD">
              <w:rPr>
                <w:rFonts w:asciiTheme="minorHAnsi" w:hAnsiTheme="minorHAnsi" w:cstheme="minorHAnsi"/>
                <w:i/>
                <w:iCs/>
                <w:color w:val="000000"/>
                <w:sz w:val="12"/>
                <w:szCs w:val="12"/>
              </w:rPr>
              <w:t>(11)%</w:t>
            </w:r>
          </w:p>
        </w:tc>
        <w:tc>
          <w:tcPr>
            <w:tcW w:w="703" w:type="dxa"/>
            <w:shd w:val="clear" w:color="000000" w:fill="FFFFFF"/>
            <w:noWrap/>
            <w:vAlign w:val="center"/>
          </w:tcPr>
          <w:p w14:paraId="54E50804" w14:textId="77777777" w:rsidR="0044035E" w:rsidRPr="00A455FD" w:rsidRDefault="0044035E" w:rsidP="006A1A41">
            <w:pPr>
              <w:spacing w:line="276" w:lineRule="auto"/>
              <w:jc w:val="center"/>
              <w:rPr>
                <w:rFonts w:asciiTheme="minorHAnsi" w:eastAsia="Times New Roman" w:hAnsiTheme="minorHAnsi" w:cstheme="minorHAnsi"/>
                <w:i/>
                <w:sz w:val="12"/>
                <w:szCs w:val="12"/>
                <w:highlight w:val="yellow"/>
                <w:lang w:eastAsia="en-GB"/>
              </w:rPr>
            </w:pPr>
            <w:r w:rsidRPr="00A455FD">
              <w:rPr>
                <w:rFonts w:asciiTheme="minorHAnsi" w:hAnsiTheme="minorHAnsi" w:cstheme="minorHAnsi"/>
                <w:i/>
                <w:iCs/>
                <w:color w:val="000000"/>
                <w:sz w:val="12"/>
                <w:szCs w:val="12"/>
              </w:rPr>
              <w:t>(11)%</w:t>
            </w:r>
          </w:p>
        </w:tc>
      </w:tr>
      <w:tr w:rsidR="0044035E" w:rsidRPr="00CA4A72" w14:paraId="1A4B6CA7" w14:textId="77777777" w:rsidTr="006A1A41">
        <w:trPr>
          <w:trHeight w:val="170"/>
        </w:trPr>
        <w:tc>
          <w:tcPr>
            <w:tcW w:w="2901" w:type="dxa"/>
            <w:tcBorders>
              <w:top w:val="nil"/>
              <w:bottom w:val="nil"/>
              <w:right w:val="single" w:sz="4" w:space="0" w:color="auto"/>
            </w:tcBorders>
          </w:tcPr>
          <w:p w14:paraId="28E70E75" w14:textId="77777777" w:rsidR="0044035E" w:rsidRPr="00D27EF3" w:rsidRDefault="0044035E" w:rsidP="006A1A41">
            <w:pPr>
              <w:spacing w:line="276" w:lineRule="auto"/>
              <w:rPr>
                <w:rFonts w:asciiTheme="minorHAnsi" w:hAnsiTheme="minorHAnsi" w:cstheme="minorHAnsi"/>
                <w:sz w:val="12"/>
                <w:szCs w:val="12"/>
              </w:rPr>
            </w:pPr>
            <w:r>
              <w:rPr>
                <w:sz w:val="12"/>
                <w:szCs w:val="12"/>
              </w:rPr>
              <w:t xml:space="preserve">Life Sciences </w:t>
            </w:r>
            <w:r w:rsidRPr="00D27EF3">
              <w:rPr>
                <w:sz w:val="12"/>
                <w:szCs w:val="12"/>
                <w:vertAlign w:val="superscript"/>
              </w:rPr>
              <w:t>(3)</w:t>
            </w:r>
          </w:p>
        </w:tc>
        <w:tc>
          <w:tcPr>
            <w:tcW w:w="775" w:type="dxa"/>
            <w:tcBorders>
              <w:left w:val="single" w:sz="4" w:space="0" w:color="auto"/>
            </w:tcBorders>
            <w:shd w:val="clear" w:color="000000" w:fill="FFFFFF"/>
            <w:noWrap/>
            <w:vAlign w:val="center"/>
          </w:tcPr>
          <w:p w14:paraId="432267B5"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192.3</w:t>
            </w:r>
          </w:p>
        </w:tc>
        <w:tc>
          <w:tcPr>
            <w:tcW w:w="992" w:type="dxa"/>
            <w:shd w:val="clear" w:color="000000" w:fill="FFFFFF"/>
            <w:noWrap/>
            <w:vAlign w:val="center"/>
          </w:tcPr>
          <w:p w14:paraId="19F1765B"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1.5</w:t>
            </w:r>
          </w:p>
        </w:tc>
        <w:tc>
          <w:tcPr>
            <w:tcW w:w="851" w:type="dxa"/>
            <w:tcBorders>
              <w:right w:val="single" w:sz="4" w:space="0" w:color="auto"/>
            </w:tcBorders>
            <w:shd w:val="clear" w:color="000000" w:fill="FFFFFF"/>
            <w:noWrap/>
            <w:vAlign w:val="center"/>
          </w:tcPr>
          <w:p w14:paraId="5F562E3D"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193.8</w:t>
            </w:r>
          </w:p>
        </w:tc>
        <w:tc>
          <w:tcPr>
            <w:tcW w:w="900" w:type="dxa"/>
            <w:tcBorders>
              <w:left w:val="single" w:sz="4" w:space="0" w:color="auto"/>
            </w:tcBorders>
            <w:shd w:val="clear" w:color="auto" w:fill="auto"/>
            <w:noWrap/>
            <w:vAlign w:val="center"/>
          </w:tcPr>
          <w:p w14:paraId="0838C84F"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30.2</w:t>
            </w:r>
          </w:p>
        </w:tc>
        <w:tc>
          <w:tcPr>
            <w:tcW w:w="0" w:type="auto"/>
            <w:shd w:val="clear" w:color="auto" w:fill="auto"/>
            <w:noWrap/>
            <w:vAlign w:val="center"/>
          </w:tcPr>
          <w:p w14:paraId="056932A1"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0.2</w:t>
            </w:r>
          </w:p>
        </w:tc>
        <w:tc>
          <w:tcPr>
            <w:tcW w:w="898" w:type="dxa"/>
            <w:tcBorders>
              <w:right w:val="single" w:sz="4" w:space="0" w:color="auto"/>
            </w:tcBorders>
            <w:shd w:val="clear" w:color="auto" w:fill="auto"/>
            <w:noWrap/>
            <w:vAlign w:val="center"/>
          </w:tcPr>
          <w:p w14:paraId="2FC7F93F"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30.5</w:t>
            </w:r>
          </w:p>
        </w:tc>
        <w:tc>
          <w:tcPr>
            <w:tcW w:w="714" w:type="dxa"/>
            <w:tcBorders>
              <w:left w:val="single" w:sz="4" w:space="0" w:color="auto"/>
            </w:tcBorders>
            <w:shd w:val="clear" w:color="000000" w:fill="FFFFFF"/>
            <w:noWrap/>
            <w:vAlign w:val="center"/>
          </w:tcPr>
          <w:p w14:paraId="25B1A68D"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536%</w:t>
            </w:r>
          </w:p>
        </w:tc>
        <w:tc>
          <w:tcPr>
            <w:tcW w:w="703" w:type="dxa"/>
            <w:shd w:val="clear" w:color="000000" w:fill="FFFFFF"/>
            <w:noWrap/>
            <w:vAlign w:val="center"/>
          </w:tcPr>
          <w:p w14:paraId="2B4F3FB2"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536%</w:t>
            </w:r>
          </w:p>
        </w:tc>
      </w:tr>
      <w:tr w:rsidR="0044035E" w:rsidRPr="00CA4A72" w14:paraId="7E316E96" w14:textId="77777777" w:rsidTr="006A1A41">
        <w:trPr>
          <w:trHeight w:val="170"/>
        </w:trPr>
        <w:tc>
          <w:tcPr>
            <w:tcW w:w="2901" w:type="dxa"/>
            <w:tcBorders>
              <w:top w:val="nil"/>
              <w:bottom w:val="nil"/>
              <w:right w:val="single" w:sz="4" w:space="0" w:color="auto"/>
            </w:tcBorders>
            <w:hideMark/>
          </w:tcPr>
          <w:p w14:paraId="5A94061A" w14:textId="77777777" w:rsidR="0044035E" w:rsidRPr="00D27EF3" w:rsidRDefault="0044035E" w:rsidP="006A1A41">
            <w:pPr>
              <w:spacing w:line="276" w:lineRule="auto"/>
              <w:rPr>
                <w:rFonts w:asciiTheme="minorHAnsi" w:eastAsia="Times New Roman" w:hAnsiTheme="minorHAnsi" w:cstheme="minorHAnsi"/>
                <w:sz w:val="12"/>
                <w:szCs w:val="12"/>
                <w:lang w:eastAsia="en-GB"/>
              </w:rPr>
            </w:pPr>
            <w:r>
              <w:rPr>
                <w:sz w:val="12"/>
                <w:szCs w:val="12"/>
              </w:rPr>
              <w:t>Mainstream Innovation</w:t>
            </w:r>
          </w:p>
        </w:tc>
        <w:tc>
          <w:tcPr>
            <w:tcW w:w="775" w:type="dxa"/>
            <w:tcBorders>
              <w:left w:val="single" w:sz="4" w:space="0" w:color="auto"/>
            </w:tcBorders>
            <w:shd w:val="clear" w:color="000000" w:fill="FFFFFF"/>
            <w:noWrap/>
            <w:vAlign w:val="center"/>
          </w:tcPr>
          <w:p w14:paraId="7BBAFF90"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220.9</w:t>
            </w:r>
          </w:p>
        </w:tc>
        <w:tc>
          <w:tcPr>
            <w:tcW w:w="992" w:type="dxa"/>
            <w:shd w:val="clear" w:color="000000" w:fill="FFFFFF"/>
            <w:noWrap/>
            <w:vAlign w:val="center"/>
          </w:tcPr>
          <w:p w14:paraId="4FEB3BA3"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0.1</w:t>
            </w:r>
          </w:p>
        </w:tc>
        <w:tc>
          <w:tcPr>
            <w:tcW w:w="851" w:type="dxa"/>
            <w:tcBorders>
              <w:right w:val="single" w:sz="4" w:space="0" w:color="auto"/>
            </w:tcBorders>
            <w:shd w:val="clear" w:color="000000" w:fill="FFFFFF"/>
            <w:noWrap/>
            <w:vAlign w:val="center"/>
          </w:tcPr>
          <w:p w14:paraId="0E5BADAA"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221.0</w:t>
            </w:r>
          </w:p>
        </w:tc>
        <w:tc>
          <w:tcPr>
            <w:tcW w:w="900" w:type="dxa"/>
            <w:tcBorders>
              <w:left w:val="single" w:sz="4" w:space="0" w:color="auto"/>
            </w:tcBorders>
            <w:shd w:val="clear" w:color="000000" w:fill="FFFFFF"/>
            <w:noWrap/>
            <w:vAlign w:val="center"/>
          </w:tcPr>
          <w:p w14:paraId="6E22173D"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220.1</w:t>
            </w:r>
          </w:p>
        </w:tc>
        <w:tc>
          <w:tcPr>
            <w:tcW w:w="0" w:type="auto"/>
            <w:shd w:val="clear" w:color="000000" w:fill="FFFFFF"/>
            <w:noWrap/>
            <w:vAlign w:val="center"/>
          </w:tcPr>
          <w:p w14:paraId="2CE2801D"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3.3</w:t>
            </w:r>
          </w:p>
        </w:tc>
        <w:tc>
          <w:tcPr>
            <w:tcW w:w="898" w:type="dxa"/>
            <w:tcBorders>
              <w:right w:val="single" w:sz="4" w:space="0" w:color="auto"/>
            </w:tcBorders>
            <w:shd w:val="clear" w:color="000000" w:fill="FFFFFF"/>
            <w:noWrap/>
            <w:vAlign w:val="center"/>
          </w:tcPr>
          <w:p w14:paraId="0859A33E"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223.5</w:t>
            </w:r>
          </w:p>
        </w:tc>
        <w:tc>
          <w:tcPr>
            <w:tcW w:w="714" w:type="dxa"/>
            <w:tcBorders>
              <w:left w:val="single" w:sz="4" w:space="0" w:color="auto"/>
            </w:tcBorders>
            <w:shd w:val="clear" w:color="000000" w:fill="FFFFFF"/>
            <w:noWrap/>
            <w:vAlign w:val="center"/>
          </w:tcPr>
          <w:p w14:paraId="71D838AB"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0%</w:t>
            </w:r>
          </w:p>
        </w:tc>
        <w:tc>
          <w:tcPr>
            <w:tcW w:w="703" w:type="dxa"/>
            <w:shd w:val="clear" w:color="000000" w:fill="FFFFFF"/>
            <w:noWrap/>
            <w:vAlign w:val="center"/>
          </w:tcPr>
          <w:p w14:paraId="0F02EC57"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w:t>
            </w:r>
          </w:p>
        </w:tc>
      </w:tr>
      <w:tr w:rsidR="0044035E" w:rsidRPr="00CA4A72" w14:paraId="0C011C77" w14:textId="77777777" w:rsidTr="006A1A41">
        <w:trPr>
          <w:trHeight w:val="170"/>
        </w:trPr>
        <w:tc>
          <w:tcPr>
            <w:tcW w:w="2901" w:type="dxa"/>
            <w:tcBorders>
              <w:top w:val="nil"/>
              <w:bottom w:val="nil"/>
              <w:right w:val="single" w:sz="4" w:space="0" w:color="auto"/>
            </w:tcBorders>
          </w:tcPr>
          <w:p w14:paraId="496C7E68" w14:textId="77777777" w:rsidR="0044035E" w:rsidRPr="00D27EF3" w:rsidRDefault="0044035E" w:rsidP="006A1A41">
            <w:pPr>
              <w:spacing w:line="276" w:lineRule="auto"/>
              <w:ind w:firstLineChars="100" w:firstLine="120"/>
              <w:rPr>
                <w:rFonts w:asciiTheme="minorHAnsi" w:hAnsiTheme="minorHAnsi" w:cstheme="minorHAnsi"/>
                <w:i/>
                <w:sz w:val="12"/>
                <w:szCs w:val="12"/>
                <w:highlight w:val="yellow"/>
              </w:rPr>
            </w:pPr>
            <w:r w:rsidRPr="00D27EF3">
              <w:rPr>
                <w:i/>
                <w:sz w:val="12"/>
                <w:szCs w:val="12"/>
              </w:rPr>
              <w:t>Of which SOLIDWORKS</w:t>
            </w:r>
          </w:p>
        </w:tc>
        <w:tc>
          <w:tcPr>
            <w:tcW w:w="775" w:type="dxa"/>
            <w:tcBorders>
              <w:left w:val="single" w:sz="4" w:space="0" w:color="auto"/>
            </w:tcBorders>
            <w:shd w:val="clear" w:color="000000" w:fill="FFFFFF"/>
            <w:noWrap/>
            <w:vAlign w:val="center"/>
          </w:tcPr>
          <w:p w14:paraId="623A36D1" w14:textId="77777777" w:rsidR="0044035E" w:rsidRPr="00A455FD" w:rsidRDefault="0044035E" w:rsidP="006A1A41">
            <w:pPr>
              <w:spacing w:line="276" w:lineRule="auto"/>
              <w:jc w:val="center"/>
              <w:rPr>
                <w:rFonts w:asciiTheme="minorHAnsi" w:eastAsia="Times New Roman" w:hAnsiTheme="minorHAnsi" w:cstheme="minorHAnsi"/>
                <w:i/>
                <w:sz w:val="12"/>
                <w:szCs w:val="12"/>
                <w:highlight w:val="yellow"/>
                <w:lang w:eastAsia="en-GB"/>
              </w:rPr>
            </w:pPr>
            <w:r w:rsidRPr="00A455FD">
              <w:rPr>
                <w:rFonts w:asciiTheme="minorHAnsi" w:hAnsiTheme="minorHAnsi" w:cstheme="minorHAnsi"/>
                <w:i/>
                <w:iCs/>
                <w:color w:val="000000"/>
                <w:sz w:val="12"/>
                <w:szCs w:val="12"/>
              </w:rPr>
              <w:t>198.5</w:t>
            </w:r>
          </w:p>
        </w:tc>
        <w:tc>
          <w:tcPr>
            <w:tcW w:w="992" w:type="dxa"/>
            <w:shd w:val="clear" w:color="000000" w:fill="FFFFFF"/>
            <w:noWrap/>
            <w:vAlign w:val="center"/>
          </w:tcPr>
          <w:p w14:paraId="6E55E45D" w14:textId="77777777" w:rsidR="0044035E" w:rsidRPr="00A455FD" w:rsidRDefault="0044035E" w:rsidP="006A1A41">
            <w:pPr>
              <w:spacing w:line="276" w:lineRule="auto"/>
              <w:jc w:val="center"/>
              <w:rPr>
                <w:rFonts w:asciiTheme="minorHAnsi" w:eastAsia="Times New Roman" w:hAnsiTheme="minorHAnsi" w:cstheme="minorHAnsi"/>
                <w:i/>
                <w:sz w:val="12"/>
                <w:szCs w:val="12"/>
                <w:highlight w:val="yellow"/>
                <w:lang w:eastAsia="en-GB"/>
              </w:rPr>
            </w:pPr>
          </w:p>
        </w:tc>
        <w:tc>
          <w:tcPr>
            <w:tcW w:w="851" w:type="dxa"/>
            <w:tcBorders>
              <w:right w:val="single" w:sz="4" w:space="0" w:color="auto"/>
            </w:tcBorders>
            <w:shd w:val="clear" w:color="000000" w:fill="FFFFFF"/>
            <w:noWrap/>
            <w:vAlign w:val="center"/>
          </w:tcPr>
          <w:p w14:paraId="7026A7F6" w14:textId="77777777" w:rsidR="0044035E" w:rsidRPr="00A455FD" w:rsidRDefault="0044035E" w:rsidP="006A1A41">
            <w:pPr>
              <w:spacing w:line="276" w:lineRule="auto"/>
              <w:jc w:val="center"/>
              <w:rPr>
                <w:rFonts w:asciiTheme="minorHAnsi" w:eastAsia="Times New Roman" w:hAnsiTheme="minorHAnsi" w:cstheme="minorHAnsi"/>
                <w:i/>
                <w:sz w:val="12"/>
                <w:szCs w:val="12"/>
                <w:highlight w:val="yellow"/>
                <w:lang w:eastAsia="en-GB"/>
              </w:rPr>
            </w:pPr>
            <w:r w:rsidRPr="00A455FD">
              <w:rPr>
                <w:rFonts w:asciiTheme="minorHAnsi" w:hAnsiTheme="minorHAnsi" w:cstheme="minorHAnsi"/>
                <w:i/>
                <w:iCs/>
                <w:color w:val="000000"/>
                <w:sz w:val="12"/>
                <w:szCs w:val="12"/>
              </w:rPr>
              <w:t>198.5</w:t>
            </w:r>
          </w:p>
        </w:tc>
        <w:tc>
          <w:tcPr>
            <w:tcW w:w="900" w:type="dxa"/>
            <w:tcBorders>
              <w:left w:val="single" w:sz="4" w:space="0" w:color="auto"/>
            </w:tcBorders>
            <w:shd w:val="clear" w:color="000000" w:fill="FFFFFF"/>
            <w:noWrap/>
            <w:vAlign w:val="center"/>
          </w:tcPr>
          <w:p w14:paraId="16068307" w14:textId="77777777" w:rsidR="0044035E" w:rsidRPr="00A455FD" w:rsidRDefault="0044035E" w:rsidP="006A1A41">
            <w:pPr>
              <w:spacing w:line="276" w:lineRule="auto"/>
              <w:jc w:val="center"/>
              <w:rPr>
                <w:rFonts w:asciiTheme="minorHAnsi" w:eastAsia="Times New Roman" w:hAnsiTheme="minorHAnsi" w:cstheme="minorHAnsi"/>
                <w:i/>
                <w:sz w:val="12"/>
                <w:szCs w:val="12"/>
                <w:highlight w:val="yellow"/>
                <w:lang w:eastAsia="en-GB"/>
              </w:rPr>
            </w:pPr>
            <w:r w:rsidRPr="00A455FD">
              <w:rPr>
                <w:rFonts w:asciiTheme="minorHAnsi" w:hAnsiTheme="minorHAnsi" w:cstheme="minorHAnsi"/>
                <w:i/>
                <w:iCs/>
                <w:color w:val="000000"/>
                <w:sz w:val="12"/>
                <w:szCs w:val="12"/>
              </w:rPr>
              <w:t>202.8</w:t>
            </w:r>
          </w:p>
        </w:tc>
        <w:tc>
          <w:tcPr>
            <w:tcW w:w="0" w:type="auto"/>
            <w:shd w:val="clear" w:color="000000" w:fill="FFFFFF"/>
            <w:noWrap/>
            <w:vAlign w:val="center"/>
          </w:tcPr>
          <w:p w14:paraId="12DD645C" w14:textId="77777777" w:rsidR="0044035E" w:rsidRPr="00A455FD" w:rsidRDefault="0044035E" w:rsidP="006A1A41">
            <w:pPr>
              <w:spacing w:line="276" w:lineRule="auto"/>
              <w:jc w:val="center"/>
              <w:rPr>
                <w:rFonts w:asciiTheme="minorHAnsi" w:eastAsia="Times New Roman" w:hAnsiTheme="minorHAnsi" w:cstheme="minorHAnsi"/>
                <w:i/>
                <w:sz w:val="12"/>
                <w:szCs w:val="12"/>
                <w:highlight w:val="yellow"/>
                <w:lang w:eastAsia="en-GB"/>
              </w:rPr>
            </w:pPr>
          </w:p>
        </w:tc>
        <w:tc>
          <w:tcPr>
            <w:tcW w:w="898" w:type="dxa"/>
            <w:tcBorders>
              <w:right w:val="single" w:sz="4" w:space="0" w:color="auto"/>
            </w:tcBorders>
            <w:shd w:val="clear" w:color="000000" w:fill="FFFFFF"/>
            <w:noWrap/>
            <w:vAlign w:val="center"/>
          </w:tcPr>
          <w:p w14:paraId="525FD578" w14:textId="77777777" w:rsidR="0044035E" w:rsidRPr="00A455FD" w:rsidRDefault="0044035E" w:rsidP="006A1A41">
            <w:pPr>
              <w:spacing w:line="276" w:lineRule="auto"/>
              <w:jc w:val="center"/>
              <w:rPr>
                <w:rFonts w:asciiTheme="minorHAnsi" w:eastAsia="Times New Roman" w:hAnsiTheme="minorHAnsi" w:cstheme="minorHAnsi"/>
                <w:i/>
                <w:sz w:val="12"/>
                <w:szCs w:val="12"/>
                <w:highlight w:val="yellow"/>
                <w:lang w:eastAsia="en-GB"/>
              </w:rPr>
            </w:pPr>
            <w:r w:rsidRPr="00A455FD">
              <w:rPr>
                <w:rFonts w:asciiTheme="minorHAnsi" w:hAnsiTheme="minorHAnsi" w:cstheme="minorHAnsi"/>
                <w:i/>
                <w:iCs/>
                <w:color w:val="000000"/>
                <w:sz w:val="12"/>
                <w:szCs w:val="12"/>
              </w:rPr>
              <w:t>202.8</w:t>
            </w:r>
          </w:p>
        </w:tc>
        <w:tc>
          <w:tcPr>
            <w:tcW w:w="714" w:type="dxa"/>
            <w:tcBorders>
              <w:left w:val="single" w:sz="4" w:space="0" w:color="auto"/>
            </w:tcBorders>
            <w:shd w:val="clear" w:color="000000" w:fill="FFFFFF"/>
            <w:noWrap/>
            <w:vAlign w:val="center"/>
          </w:tcPr>
          <w:p w14:paraId="418D3156" w14:textId="77777777" w:rsidR="0044035E" w:rsidRPr="00A455FD" w:rsidRDefault="0044035E" w:rsidP="006A1A41">
            <w:pPr>
              <w:spacing w:line="276" w:lineRule="auto"/>
              <w:jc w:val="center"/>
              <w:rPr>
                <w:rFonts w:asciiTheme="minorHAnsi" w:eastAsia="Times New Roman" w:hAnsiTheme="minorHAnsi" w:cstheme="minorHAnsi"/>
                <w:i/>
                <w:sz w:val="12"/>
                <w:szCs w:val="12"/>
                <w:highlight w:val="yellow"/>
                <w:lang w:eastAsia="en-GB"/>
              </w:rPr>
            </w:pPr>
            <w:r w:rsidRPr="00A455FD">
              <w:rPr>
                <w:rFonts w:asciiTheme="minorHAnsi" w:hAnsiTheme="minorHAnsi" w:cstheme="minorHAnsi"/>
                <w:i/>
                <w:iCs/>
                <w:color w:val="000000"/>
                <w:sz w:val="12"/>
                <w:szCs w:val="12"/>
              </w:rPr>
              <w:t>(2)%</w:t>
            </w:r>
          </w:p>
        </w:tc>
        <w:tc>
          <w:tcPr>
            <w:tcW w:w="703" w:type="dxa"/>
            <w:shd w:val="clear" w:color="000000" w:fill="FFFFFF"/>
            <w:noWrap/>
            <w:vAlign w:val="center"/>
          </w:tcPr>
          <w:p w14:paraId="60AA9ACA" w14:textId="77777777" w:rsidR="0044035E" w:rsidRPr="00A455FD" w:rsidRDefault="0044035E" w:rsidP="006A1A41">
            <w:pPr>
              <w:spacing w:line="276" w:lineRule="auto"/>
              <w:jc w:val="center"/>
              <w:rPr>
                <w:rFonts w:asciiTheme="minorHAnsi" w:eastAsia="Times New Roman" w:hAnsiTheme="minorHAnsi" w:cstheme="minorHAnsi"/>
                <w:i/>
                <w:sz w:val="12"/>
                <w:szCs w:val="12"/>
                <w:highlight w:val="yellow"/>
                <w:lang w:eastAsia="en-GB"/>
              </w:rPr>
            </w:pPr>
            <w:r w:rsidRPr="00A455FD">
              <w:rPr>
                <w:rFonts w:asciiTheme="minorHAnsi" w:hAnsiTheme="minorHAnsi" w:cstheme="minorHAnsi"/>
                <w:i/>
                <w:iCs/>
                <w:color w:val="000000"/>
                <w:sz w:val="12"/>
                <w:szCs w:val="12"/>
              </w:rPr>
              <w:t>(2)%</w:t>
            </w:r>
          </w:p>
        </w:tc>
      </w:tr>
      <w:tr w:rsidR="0044035E" w:rsidRPr="00CA4A72" w14:paraId="3D5A9D23" w14:textId="77777777" w:rsidTr="006A1A41">
        <w:trPr>
          <w:trHeight w:val="170"/>
        </w:trPr>
        <w:tc>
          <w:tcPr>
            <w:tcW w:w="2901" w:type="dxa"/>
            <w:tcBorders>
              <w:top w:val="nil"/>
              <w:bottom w:val="nil"/>
              <w:right w:val="single" w:sz="4" w:space="0" w:color="auto"/>
            </w:tcBorders>
            <w:vAlign w:val="center"/>
            <w:hideMark/>
          </w:tcPr>
          <w:p w14:paraId="21ADB5FB" w14:textId="77777777" w:rsidR="0044035E" w:rsidRPr="00CA4A72" w:rsidRDefault="0044035E" w:rsidP="006A1A41">
            <w:pPr>
              <w:spacing w:line="276" w:lineRule="auto"/>
              <w:rPr>
                <w:rFonts w:asciiTheme="minorHAnsi" w:eastAsia="Times New Roman" w:hAnsiTheme="minorHAnsi" w:cstheme="minorHAnsi"/>
                <w:b/>
                <w:bCs/>
                <w:sz w:val="12"/>
                <w:szCs w:val="12"/>
                <w:lang w:eastAsia="en-GB"/>
              </w:rPr>
            </w:pPr>
            <w:r w:rsidRPr="00CA4A72">
              <w:rPr>
                <w:rFonts w:asciiTheme="minorHAnsi" w:hAnsiTheme="minorHAnsi" w:cstheme="minorHAnsi"/>
                <w:b/>
                <w:bCs/>
                <w:sz w:val="12"/>
                <w:szCs w:val="12"/>
              </w:rPr>
              <w:t>Total Revenue breakdown by geography</w:t>
            </w:r>
          </w:p>
        </w:tc>
        <w:tc>
          <w:tcPr>
            <w:tcW w:w="775" w:type="dxa"/>
            <w:tcBorders>
              <w:left w:val="single" w:sz="4" w:space="0" w:color="auto"/>
            </w:tcBorders>
            <w:shd w:val="clear" w:color="000000" w:fill="FFFFFF"/>
            <w:vAlign w:val="center"/>
          </w:tcPr>
          <w:p w14:paraId="202B333B"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992" w:type="dxa"/>
            <w:shd w:val="clear" w:color="000000" w:fill="FFFFFF"/>
            <w:vAlign w:val="center"/>
          </w:tcPr>
          <w:p w14:paraId="34591821"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851" w:type="dxa"/>
            <w:tcBorders>
              <w:right w:val="single" w:sz="4" w:space="0" w:color="auto"/>
            </w:tcBorders>
            <w:shd w:val="clear" w:color="000000" w:fill="FFFFFF"/>
            <w:vAlign w:val="center"/>
          </w:tcPr>
          <w:p w14:paraId="58FF7E95"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900" w:type="dxa"/>
            <w:tcBorders>
              <w:left w:val="single" w:sz="4" w:space="0" w:color="auto"/>
            </w:tcBorders>
            <w:shd w:val="clear" w:color="000000" w:fill="FFFFFF"/>
            <w:vAlign w:val="center"/>
          </w:tcPr>
          <w:p w14:paraId="5CA7F6BD"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0" w:type="auto"/>
            <w:shd w:val="clear" w:color="000000" w:fill="FFFFFF"/>
            <w:vAlign w:val="center"/>
          </w:tcPr>
          <w:p w14:paraId="32B19DFB"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898" w:type="dxa"/>
            <w:tcBorders>
              <w:right w:val="single" w:sz="4" w:space="0" w:color="auto"/>
            </w:tcBorders>
            <w:shd w:val="clear" w:color="000000" w:fill="FFFFFF"/>
            <w:vAlign w:val="center"/>
          </w:tcPr>
          <w:p w14:paraId="6306808C"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714" w:type="dxa"/>
            <w:tcBorders>
              <w:left w:val="single" w:sz="4" w:space="0" w:color="auto"/>
            </w:tcBorders>
            <w:shd w:val="clear" w:color="000000" w:fill="FFFFFF"/>
            <w:vAlign w:val="center"/>
          </w:tcPr>
          <w:p w14:paraId="0B7E56F3"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703" w:type="dxa"/>
            <w:shd w:val="clear" w:color="000000" w:fill="FFFFFF"/>
            <w:vAlign w:val="center"/>
          </w:tcPr>
          <w:p w14:paraId="08DA64D3"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r>
      <w:tr w:rsidR="0044035E" w:rsidRPr="00CA4A72" w14:paraId="7027EAD0" w14:textId="77777777" w:rsidTr="006A1A41">
        <w:trPr>
          <w:trHeight w:val="170"/>
        </w:trPr>
        <w:tc>
          <w:tcPr>
            <w:tcW w:w="2901" w:type="dxa"/>
            <w:tcBorders>
              <w:top w:val="nil"/>
              <w:bottom w:val="nil"/>
              <w:right w:val="single" w:sz="4" w:space="0" w:color="auto"/>
            </w:tcBorders>
            <w:vAlign w:val="center"/>
            <w:hideMark/>
          </w:tcPr>
          <w:p w14:paraId="584B212E"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 xml:space="preserve">Americas </w:t>
            </w:r>
          </w:p>
        </w:tc>
        <w:tc>
          <w:tcPr>
            <w:tcW w:w="775" w:type="dxa"/>
            <w:tcBorders>
              <w:left w:val="single" w:sz="4" w:space="0" w:color="auto"/>
            </w:tcBorders>
            <w:shd w:val="clear" w:color="000000" w:fill="FFFFFF"/>
            <w:noWrap/>
            <w:vAlign w:val="center"/>
          </w:tcPr>
          <w:p w14:paraId="5544B6E7"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412.1</w:t>
            </w:r>
          </w:p>
        </w:tc>
        <w:tc>
          <w:tcPr>
            <w:tcW w:w="992" w:type="dxa"/>
            <w:shd w:val="clear" w:color="000000" w:fill="FFFFFF"/>
            <w:noWrap/>
            <w:vAlign w:val="center"/>
          </w:tcPr>
          <w:p w14:paraId="4829A9EA"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1.8</w:t>
            </w:r>
          </w:p>
        </w:tc>
        <w:tc>
          <w:tcPr>
            <w:tcW w:w="851" w:type="dxa"/>
            <w:tcBorders>
              <w:right w:val="single" w:sz="4" w:space="0" w:color="auto"/>
            </w:tcBorders>
            <w:shd w:val="clear" w:color="000000" w:fill="FFFFFF"/>
            <w:noWrap/>
            <w:vAlign w:val="center"/>
          </w:tcPr>
          <w:p w14:paraId="0168425D"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413.9</w:t>
            </w:r>
          </w:p>
        </w:tc>
        <w:tc>
          <w:tcPr>
            <w:tcW w:w="900" w:type="dxa"/>
            <w:tcBorders>
              <w:left w:val="single" w:sz="4" w:space="0" w:color="auto"/>
            </w:tcBorders>
            <w:shd w:val="clear" w:color="000000" w:fill="FFFFFF"/>
            <w:noWrap/>
            <w:vAlign w:val="center"/>
          </w:tcPr>
          <w:p w14:paraId="17C6A0C9"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295.6</w:t>
            </w:r>
          </w:p>
        </w:tc>
        <w:tc>
          <w:tcPr>
            <w:tcW w:w="0" w:type="auto"/>
            <w:shd w:val="clear" w:color="000000" w:fill="FFFFFF"/>
            <w:noWrap/>
            <w:vAlign w:val="center"/>
          </w:tcPr>
          <w:p w14:paraId="3A12FEEF"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3.0</w:t>
            </w:r>
          </w:p>
        </w:tc>
        <w:tc>
          <w:tcPr>
            <w:tcW w:w="898" w:type="dxa"/>
            <w:tcBorders>
              <w:right w:val="single" w:sz="4" w:space="0" w:color="auto"/>
            </w:tcBorders>
            <w:shd w:val="clear" w:color="000000" w:fill="FFFFFF"/>
            <w:noWrap/>
            <w:vAlign w:val="center"/>
          </w:tcPr>
          <w:p w14:paraId="05CAF9D9"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298.7</w:t>
            </w:r>
          </w:p>
        </w:tc>
        <w:tc>
          <w:tcPr>
            <w:tcW w:w="714" w:type="dxa"/>
            <w:tcBorders>
              <w:left w:val="single" w:sz="4" w:space="0" w:color="auto"/>
            </w:tcBorders>
            <w:shd w:val="clear" w:color="000000" w:fill="FFFFFF"/>
            <w:vAlign w:val="center"/>
          </w:tcPr>
          <w:p w14:paraId="56DF9B8C"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39%</w:t>
            </w:r>
          </w:p>
        </w:tc>
        <w:tc>
          <w:tcPr>
            <w:tcW w:w="703" w:type="dxa"/>
            <w:shd w:val="clear" w:color="000000" w:fill="FFFFFF"/>
            <w:vAlign w:val="center"/>
          </w:tcPr>
          <w:p w14:paraId="5B5F4005"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39%</w:t>
            </w:r>
          </w:p>
        </w:tc>
      </w:tr>
      <w:tr w:rsidR="0044035E" w:rsidRPr="00CA4A72" w14:paraId="2DA1A3F4" w14:textId="77777777" w:rsidTr="006A1A41">
        <w:trPr>
          <w:trHeight w:val="170"/>
        </w:trPr>
        <w:tc>
          <w:tcPr>
            <w:tcW w:w="2901" w:type="dxa"/>
            <w:tcBorders>
              <w:top w:val="nil"/>
              <w:bottom w:val="nil"/>
              <w:right w:val="single" w:sz="4" w:space="0" w:color="auto"/>
            </w:tcBorders>
            <w:vAlign w:val="center"/>
            <w:hideMark/>
          </w:tcPr>
          <w:p w14:paraId="46681616"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 xml:space="preserve">Europe </w:t>
            </w:r>
          </w:p>
        </w:tc>
        <w:tc>
          <w:tcPr>
            <w:tcW w:w="775" w:type="dxa"/>
            <w:tcBorders>
              <w:left w:val="single" w:sz="4" w:space="0" w:color="auto"/>
            </w:tcBorders>
            <w:shd w:val="clear" w:color="000000" w:fill="FFFFFF"/>
            <w:noWrap/>
            <w:vAlign w:val="center"/>
          </w:tcPr>
          <w:p w14:paraId="222432D2"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377.8</w:t>
            </w:r>
          </w:p>
        </w:tc>
        <w:tc>
          <w:tcPr>
            <w:tcW w:w="992" w:type="dxa"/>
            <w:shd w:val="clear" w:color="000000" w:fill="FFFFFF"/>
            <w:noWrap/>
            <w:vAlign w:val="center"/>
          </w:tcPr>
          <w:p w14:paraId="61BE5A2F"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0.1</w:t>
            </w:r>
          </w:p>
        </w:tc>
        <w:tc>
          <w:tcPr>
            <w:tcW w:w="851" w:type="dxa"/>
            <w:tcBorders>
              <w:right w:val="single" w:sz="4" w:space="0" w:color="auto"/>
            </w:tcBorders>
            <w:shd w:val="clear" w:color="000000" w:fill="FFFFFF"/>
            <w:noWrap/>
            <w:vAlign w:val="center"/>
          </w:tcPr>
          <w:p w14:paraId="5E96AA3E"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377.9</w:t>
            </w:r>
          </w:p>
        </w:tc>
        <w:tc>
          <w:tcPr>
            <w:tcW w:w="900" w:type="dxa"/>
            <w:tcBorders>
              <w:left w:val="single" w:sz="4" w:space="0" w:color="auto"/>
            </w:tcBorders>
            <w:shd w:val="clear" w:color="000000" w:fill="FFFFFF"/>
            <w:noWrap/>
            <w:vAlign w:val="center"/>
          </w:tcPr>
          <w:p w14:paraId="550DFF50"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393.8</w:t>
            </w:r>
          </w:p>
        </w:tc>
        <w:tc>
          <w:tcPr>
            <w:tcW w:w="0" w:type="auto"/>
            <w:shd w:val="clear" w:color="000000" w:fill="FFFFFF"/>
            <w:noWrap/>
            <w:vAlign w:val="center"/>
          </w:tcPr>
          <w:p w14:paraId="15088465"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0.9</w:t>
            </w:r>
          </w:p>
        </w:tc>
        <w:tc>
          <w:tcPr>
            <w:tcW w:w="898" w:type="dxa"/>
            <w:tcBorders>
              <w:right w:val="single" w:sz="4" w:space="0" w:color="auto"/>
            </w:tcBorders>
            <w:shd w:val="clear" w:color="000000" w:fill="FFFFFF"/>
            <w:noWrap/>
            <w:vAlign w:val="center"/>
          </w:tcPr>
          <w:p w14:paraId="02CBD27D"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394.7</w:t>
            </w:r>
          </w:p>
        </w:tc>
        <w:tc>
          <w:tcPr>
            <w:tcW w:w="714" w:type="dxa"/>
            <w:tcBorders>
              <w:left w:val="single" w:sz="4" w:space="0" w:color="auto"/>
            </w:tcBorders>
            <w:shd w:val="clear" w:color="000000" w:fill="FFFFFF"/>
            <w:vAlign w:val="center"/>
          </w:tcPr>
          <w:p w14:paraId="6056B6F0"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(4)%</w:t>
            </w:r>
          </w:p>
        </w:tc>
        <w:tc>
          <w:tcPr>
            <w:tcW w:w="703" w:type="dxa"/>
            <w:shd w:val="clear" w:color="000000" w:fill="FFFFFF"/>
            <w:vAlign w:val="center"/>
          </w:tcPr>
          <w:p w14:paraId="79B4F180"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(4)%</w:t>
            </w:r>
          </w:p>
        </w:tc>
      </w:tr>
      <w:tr w:rsidR="0044035E" w:rsidRPr="00CA4A72" w14:paraId="7889EBDC" w14:textId="77777777" w:rsidTr="006A1A41">
        <w:trPr>
          <w:trHeight w:val="170"/>
        </w:trPr>
        <w:tc>
          <w:tcPr>
            <w:tcW w:w="2901" w:type="dxa"/>
            <w:tcBorders>
              <w:top w:val="nil"/>
              <w:bottom w:val="single" w:sz="4" w:space="0" w:color="auto"/>
              <w:right w:val="single" w:sz="4" w:space="0" w:color="auto"/>
            </w:tcBorders>
            <w:vAlign w:val="center"/>
            <w:hideMark/>
          </w:tcPr>
          <w:p w14:paraId="2D1B8336"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 xml:space="preserve">Asia </w:t>
            </w:r>
          </w:p>
        </w:tc>
        <w:tc>
          <w:tcPr>
            <w:tcW w:w="775" w:type="dxa"/>
            <w:tcBorders>
              <w:left w:val="single" w:sz="4" w:space="0" w:color="auto"/>
              <w:bottom w:val="single" w:sz="4" w:space="0" w:color="auto"/>
            </w:tcBorders>
            <w:shd w:val="clear" w:color="000000" w:fill="FFFFFF"/>
            <w:noWrap/>
            <w:vAlign w:val="center"/>
          </w:tcPr>
          <w:p w14:paraId="1385719B"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278.7</w:t>
            </w:r>
          </w:p>
        </w:tc>
        <w:tc>
          <w:tcPr>
            <w:tcW w:w="992" w:type="dxa"/>
            <w:tcBorders>
              <w:bottom w:val="single" w:sz="4" w:space="0" w:color="auto"/>
            </w:tcBorders>
            <w:shd w:val="clear" w:color="000000" w:fill="FFFFFF"/>
            <w:noWrap/>
            <w:vAlign w:val="center"/>
          </w:tcPr>
          <w:p w14:paraId="016409A0"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0.1</w:t>
            </w:r>
          </w:p>
        </w:tc>
        <w:tc>
          <w:tcPr>
            <w:tcW w:w="851" w:type="dxa"/>
            <w:tcBorders>
              <w:bottom w:val="single" w:sz="4" w:space="0" w:color="auto"/>
              <w:right w:val="single" w:sz="4" w:space="0" w:color="auto"/>
            </w:tcBorders>
            <w:shd w:val="clear" w:color="000000" w:fill="FFFFFF"/>
            <w:noWrap/>
            <w:vAlign w:val="center"/>
          </w:tcPr>
          <w:p w14:paraId="75D1E915"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278.8</w:t>
            </w:r>
          </w:p>
        </w:tc>
        <w:tc>
          <w:tcPr>
            <w:tcW w:w="900" w:type="dxa"/>
            <w:tcBorders>
              <w:left w:val="single" w:sz="4" w:space="0" w:color="auto"/>
              <w:bottom w:val="single" w:sz="4" w:space="0" w:color="auto"/>
            </w:tcBorders>
            <w:shd w:val="clear" w:color="000000" w:fill="FFFFFF"/>
            <w:noWrap/>
            <w:vAlign w:val="center"/>
          </w:tcPr>
          <w:p w14:paraId="10E7C00C"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272.0</w:t>
            </w:r>
          </w:p>
        </w:tc>
        <w:tc>
          <w:tcPr>
            <w:tcW w:w="0" w:type="auto"/>
            <w:tcBorders>
              <w:bottom w:val="single" w:sz="4" w:space="0" w:color="auto"/>
            </w:tcBorders>
            <w:shd w:val="clear" w:color="000000" w:fill="FFFFFF"/>
            <w:noWrap/>
            <w:vAlign w:val="center"/>
          </w:tcPr>
          <w:p w14:paraId="25BF3D4A"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898" w:type="dxa"/>
            <w:tcBorders>
              <w:bottom w:val="single" w:sz="4" w:space="0" w:color="auto"/>
              <w:right w:val="single" w:sz="4" w:space="0" w:color="auto"/>
            </w:tcBorders>
            <w:shd w:val="clear" w:color="000000" w:fill="FFFFFF"/>
            <w:noWrap/>
            <w:vAlign w:val="center"/>
          </w:tcPr>
          <w:p w14:paraId="349F0AD0"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272.0</w:t>
            </w:r>
          </w:p>
        </w:tc>
        <w:tc>
          <w:tcPr>
            <w:tcW w:w="714" w:type="dxa"/>
            <w:tcBorders>
              <w:left w:val="single" w:sz="4" w:space="0" w:color="auto"/>
              <w:bottom w:val="single" w:sz="4" w:space="0" w:color="auto"/>
            </w:tcBorders>
            <w:shd w:val="clear" w:color="000000" w:fill="FFFFFF"/>
            <w:vAlign w:val="center"/>
          </w:tcPr>
          <w:p w14:paraId="546E999D"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2%</w:t>
            </w:r>
          </w:p>
        </w:tc>
        <w:tc>
          <w:tcPr>
            <w:tcW w:w="703" w:type="dxa"/>
            <w:tcBorders>
              <w:bottom w:val="single" w:sz="4" w:space="0" w:color="auto"/>
            </w:tcBorders>
            <w:shd w:val="clear" w:color="000000" w:fill="FFFFFF"/>
            <w:vAlign w:val="center"/>
          </w:tcPr>
          <w:p w14:paraId="320803E3"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2%</w:t>
            </w:r>
          </w:p>
        </w:tc>
      </w:tr>
      <w:tr w:rsidR="0044035E" w:rsidRPr="00CA4A72" w14:paraId="5E1C3A0E" w14:textId="77777777" w:rsidTr="006A1A41">
        <w:trPr>
          <w:trHeight w:val="170"/>
        </w:trPr>
        <w:tc>
          <w:tcPr>
            <w:tcW w:w="2901" w:type="dxa"/>
            <w:tcBorders>
              <w:top w:val="single" w:sz="4" w:space="0" w:color="auto"/>
              <w:bottom w:val="nil"/>
              <w:right w:val="single" w:sz="4" w:space="0" w:color="auto"/>
            </w:tcBorders>
            <w:vAlign w:val="center"/>
            <w:hideMark/>
          </w:tcPr>
          <w:p w14:paraId="5E2A534D" w14:textId="77777777" w:rsidR="0044035E" w:rsidRPr="00CA4A72" w:rsidRDefault="0044035E" w:rsidP="006A1A41">
            <w:pPr>
              <w:spacing w:line="276" w:lineRule="auto"/>
              <w:rPr>
                <w:rFonts w:asciiTheme="minorHAnsi" w:eastAsia="Times New Roman" w:hAnsiTheme="minorHAnsi" w:cstheme="minorHAnsi"/>
                <w:b/>
                <w:bCs/>
                <w:sz w:val="12"/>
                <w:szCs w:val="12"/>
                <w:lang w:eastAsia="en-GB"/>
              </w:rPr>
            </w:pPr>
            <w:r w:rsidRPr="00CA4A72">
              <w:rPr>
                <w:rFonts w:asciiTheme="minorHAnsi" w:hAnsiTheme="minorHAnsi" w:cstheme="minorHAnsi"/>
                <w:b/>
                <w:bCs/>
                <w:sz w:val="12"/>
                <w:szCs w:val="12"/>
              </w:rPr>
              <w:t>Total Operating Expenses</w:t>
            </w:r>
          </w:p>
        </w:tc>
        <w:tc>
          <w:tcPr>
            <w:tcW w:w="775" w:type="dxa"/>
            <w:tcBorders>
              <w:top w:val="single" w:sz="4" w:space="0" w:color="auto"/>
              <w:left w:val="single" w:sz="4" w:space="0" w:color="auto"/>
              <w:bottom w:val="nil"/>
            </w:tcBorders>
            <w:shd w:val="clear" w:color="000000" w:fill="FFFFFF"/>
            <w:noWrap/>
            <w:vAlign w:val="center"/>
          </w:tcPr>
          <w:p w14:paraId="18CA9EE5" w14:textId="77777777" w:rsidR="0044035E" w:rsidRPr="00A455FD" w:rsidRDefault="0044035E" w:rsidP="006A1A41">
            <w:pPr>
              <w:spacing w:line="276" w:lineRule="auto"/>
              <w:jc w:val="center"/>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 ( 958.0)</w:t>
            </w:r>
          </w:p>
        </w:tc>
        <w:tc>
          <w:tcPr>
            <w:tcW w:w="992" w:type="dxa"/>
            <w:tcBorders>
              <w:top w:val="single" w:sz="4" w:space="0" w:color="auto"/>
              <w:bottom w:val="nil"/>
            </w:tcBorders>
            <w:shd w:val="clear" w:color="000000" w:fill="FFFFFF"/>
            <w:noWrap/>
            <w:vAlign w:val="center"/>
          </w:tcPr>
          <w:p w14:paraId="303E7C94" w14:textId="77777777" w:rsidR="0044035E" w:rsidRPr="00A455FD" w:rsidRDefault="0044035E" w:rsidP="006A1A41">
            <w:pPr>
              <w:spacing w:line="276" w:lineRule="auto"/>
              <w:jc w:val="center"/>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€ 173.6</w:t>
            </w:r>
          </w:p>
        </w:tc>
        <w:tc>
          <w:tcPr>
            <w:tcW w:w="851" w:type="dxa"/>
            <w:tcBorders>
              <w:top w:val="single" w:sz="4" w:space="0" w:color="auto"/>
              <w:bottom w:val="nil"/>
              <w:right w:val="single" w:sz="4" w:space="0" w:color="auto"/>
            </w:tcBorders>
            <w:shd w:val="clear" w:color="000000" w:fill="FFFFFF"/>
            <w:noWrap/>
            <w:vAlign w:val="center"/>
          </w:tcPr>
          <w:p w14:paraId="683DF4E2" w14:textId="77777777" w:rsidR="0044035E" w:rsidRPr="00A455FD" w:rsidRDefault="0044035E" w:rsidP="006A1A41">
            <w:pPr>
              <w:spacing w:line="276" w:lineRule="auto"/>
              <w:jc w:val="center"/>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 ( 784.3)</w:t>
            </w:r>
          </w:p>
        </w:tc>
        <w:tc>
          <w:tcPr>
            <w:tcW w:w="900" w:type="dxa"/>
            <w:tcBorders>
              <w:top w:val="single" w:sz="4" w:space="0" w:color="auto"/>
              <w:left w:val="single" w:sz="4" w:space="0" w:color="auto"/>
              <w:bottom w:val="nil"/>
            </w:tcBorders>
            <w:shd w:val="clear" w:color="auto" w:fill="auto"/>
            <w:noWrap/>
            <w:vAlign w:val="center"/>
          </w:tcPr>
          <w:p w14:paraId="2BE86801" w14:textId="77777777" w:rsidR="0044035E" w:rsidRPr="00A455FD" w:rsidRDefault="0044035E" w:rsidP="006A1A41">
            <w:pPr>
              <w:spacing w:line="276" w:lineRule="auto"/>
              <w:jc w:val="center"/>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 ( 779.3)</w:t>
            </w:r>
          </w:p>
        </w:tc>
        <w:tc>
          <w:tcPr>
            <w:tcW w:w="0" w:type="auto"/>
            <w:tcBorders>
              <w:top w:val="single" w:sz="4" w:space="0" w:color="auto"/>
              <w:bottom w:val="nil"/>
            </w:tcBorders>
            <w:shd w:val="clear" w:color="auto" w:fill="auto"/>
            <w:noWrap/>
            <w:vAlign w:val="center"/>
          </w:tcPr>
          <w:p w14:paraId="0DEAC968" w14:textId="77777777" w:rsidR="0044035E" w:rsidRPr="00A455FD" w:rsidRDefault="0044035E" w:rsidP="006A1A41">
            <w:pPr>
              <w:spacing w:line="276" w:lineRule="auto"/>
              <w:jc w:val="center"/>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€ 110.1</w:t>
            </w:r>
          </w:p>
        </w:tc>
        <w:tc>
          <w:tcPr>
            <w:tcW w:w="898" w:type="dxa"/>
            <w:tcBorders>
              <w:top w:val="single" w:sz="4" w:space="0" w:color="auto"/>
              <w:bottom w:val="nil"/>
              <w:right w:val="single" w:sz="4" w:space="0" w:color="auto"/>
            </w:tcBorders>
            <w:shd w:val="clear" w:color="auto" w:fill="auto"/>
            <w:noWrap/>
            <w:vAlign w:val="center"/>
          </w:tcPr>
          <w:p w14:paraId="033D427F" w14:textId="77777777" w:rsidR="0044035E" w:rsidRPr="00A455FD" w:rsidRDefault="0044035E" w:rsidP="006A1A41">
            <w:pPr>
              <w:spacing w:line="276" w:lineRule="auto"/>
              <w:jc w:val="center"/>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 ( 669.2)</w:t>
            </w:r>
          </w:p>
        </w:tc>
        <w:tc>
          <w:tcPr>
            <w:tcW w:w="714" w:type="dxa"/>
            <w:tcBorders>
              <w:top w:val="single" w:sz="4" w:space="0" w:color="auto"/>
              <w:left w:val="single" w:sz="4" w:space="0" w:color="auto"/>
              <w:bottom w:val="nil"/>
            </w:tcBorders>
            <w:shd w:val="clear" w:color="000000" w:fill="FFFFFF"/>
            <w:vAlign w:val="center"/>
          </w:tcPr>
          <w:p w14:paraId="602CBFF3" w14:textId="77777777" w:rsidR="0044035E" w:rsidRPr="00A455FD" w:rsidRDefault="0044035E" w:rsidP="006A1A41">
            <w:pPr>
              <w:spacing w:line="276" w:lineRule="auto"/>
              <w:jc w:val="center"/>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23%</w:t>
            </w:r>
          </w:p>
        </w:tc>
        <w:tc>
          <w:tcPr>
            <w:tcW w:w="703" w:type="dxa"/>
            <w:tcBorders>
              <w:top w:val="single" w:sz="4" w:space="0" w:color="auto"/>
              <w:bottom w:val="nil"/>
            </w:tcBorders>
            <w:shd w:val="clear" w:color="000000" w:fill="FFFFFF"/>
            <w:vAlign w:val="center"/>
          </w:tcPr>
          <w:p w14:paraId="2FCCC7DD" w14:textId="77777777" w:rsidR="0044035E" w:rsidRPr="00A455FD" w:rsidRDefault="0044035E" w:rsidP="006A1A41">
            <w:pPr>
              <w:spacing w:line="276" w:lineRule="auto"/>
              <w:jc w:val="center"/>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17%</w:t>
            </w:r>
          </w:p>
        </w:tc>
      </w:tr>
      <w:tr w:rsidR="0044035E" w:rsidRPr="00CA4A72" w14:paraId="7DAD2CB7" w14:textId="77777777" w:rsidTr="006A1A41">
        <w:trPr>
          <w:trHeight w:val="170"/>
        </w:trPr>
        <w:tc>
          <w:tcPr>
            <w:tcW w:w="2901" w:type="dxa"/>
            <w:tcBorders>
              <w:top w:val="nil"/>
              <w:bottom w:val="nil"/>
              <w:right w:val="single" w:sz="4" w:space="0" w:color="auto"/>
            </w:tcBorders>
            <w:vAlign w:val="center"/>
            <w:hideMark/>
          </w:tcPr>
          <w:p w14:paraId="7BEC23F1"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Share-based compensation expense and related social charges</w:t>
            </w:r>
          </w:p>
        </w:tc>
        <w:tc>
          <w:tcPr>
            <w:tcW w:w="775" w:type="dxa"/>
            <w:tcBorders>
              <w:top w:val="nil"/>
              <w:left w:val="single" w:sz="4" w:space="0" w:color="auto"/>
            </w:tcBorders>
            <w:shd w:val="clear" w:color="000000" w:fill="FFFFFF"/>
            <w:noWrap/>
            <w:vAlign w:val="center"/>
          </w:tcPr>
          <w:p w14:paraId="2D2BD43B"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(59.4)</w:t>
            </w:r>
          </w:p>
        </w:tc>
        <w:tc>
          <w:tcPr>
            <w:tcW w:w="992" w:type="dxa"/>
            <w:tcBorders>
              <w:top w:val="nil"/>
            </w:tcBorders>
            <w:shd w:val="clear" w:color="000000" w:fill="FFFFFF"/>
            <w:noWrap/>
            <w:vAlign w:val="center"/>
          </w:tcPr>
          <w:p w14:paraId="0579A2B2"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59.4</w:t>
            </w:r>
          </w:p>
        </w:tc>
        <w:tc>
          <w:tcPr>
            <w:tcW w:w="851" w:type="dxa"/>
            <w:tcBorders>
              <w:top w:val="nil"/>
              <w:right w:val="single" w:sz="4" w:space="0" w:color="auto"/>
            </w:tcBorders>
            <w:shd w:val="clear" w:color="000000" w:fill="FFFFFF"/>
            <w:noWrap/>
            <w:vAlign w:val="center"/>
          </w:tcPr>
          <w:p w14:paraId="2663302D"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w:t>
            </w:r>
          </w:p>
        </w:tc>
        <w:tc>
          <w:tcPr>
            <w:tcW w:w="900" w:type="dxa"/>
            <w:tcBorders>
              <w:top w:val="nil"/>
              <w:left w:val="single" w:sz="4" w:space="0" w:color="auto"/>
            </w:tcBorders>
            <w:shd w:val="clear" w:color="auto" w:fill="auto"/>
            <w:noWrap/>
            <w:vAlign w:val="center"/>
          </w:tcPr>
          <w:p w14:paraId="463BF9F3"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(34.2)</w:t>
            </w:r>
          </w:p>
        </w:tc>
        <w:tc>
          <w:tcPr>
            <w:tcW w:w="0" w:type="auto"/>
            <w:tcBorders>
              <w:top w:val="nil"/>
            </w:tcBorders>
            <w:shd w:val="clear" w:color="auto" w:fill="auto"/>
            <w:noWrap/>
            <w:vAlign w:val="center"/>
          </w:tcPr>
          <w:p w14:paraId="05F0C3AF"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34.2</w:t>
            </w:r>
          </w:p>
        </w:tc>
        <w:tc>
          <w:tcPr>
            <w:tcW w:w="898" w:type="dxa"/>
            <w:tcBorders>
              <w:top w:val="nil"/>
              <w:right w:val="single" w:sz="4" w:space="0" w:color="auto"/>
            </w:tcBorders>
            <w:shd w:val="clear" w:color="auto" w:fill="auto"/>
            <w:noWrap/>
            <w:vAlign w:val="center"/>
          </w:tcPr>
          <w:p w14:paraId="008FD357"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w:t>
            </w:r>
          </w:p>
        </w:tc>
        <w:tc>
          <w:tcPr>
            <w:tcW w:w="714" w:type="dxa"/>
            <w:tcBorders>
              <w:top w:val="nil"/>
              <w:left w:val="single" w:sz="4" w:space="0" w:color="auto"/>
            </w:tcBorders>
            <w:shd w:val="clear" w:color="000000" w:fill="FFFFFF"/>
            <w:noWrap/>
            <w:vAlign w:val="center"/>
          </w:tcPr>
          <w:p w14:paraId="28AB5E04"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703" w:type="dxa"/>
            <w:tcBorders>
              <w:top w:val="nil"/>
            </w:tcBorders>
            <w:shd w:val="clear" w:color="000000" w:fill="FFFFFF"/>
            <w:noWrap/>
            <w:vAlign w:val="center"/>
          </w:tcPr>
          <w:p w14:paraId="514275C7"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r>
      <w:tr w:rsidR="0044035E" w:rsidRPr="00CA4A72" w14:paraId="2539A66C" w14:textId="77777777" w:rsidTr="006A1A41">
        <w:trPr>
          <w:trHeight w:val="170"/>
        </w:trPr>
        <w:tc>
          <w:tcPr>
            <w:tcW w:w="2901" w:type="dxa"/>
            <w:tcBorders>
              <w:top w:val="nil"/>
              <w:bottom w:val="nil"/>
              <w:right w:val="single" w:sz="4" w:space="0" w:color="auto"/>
            </w:tcBorders>
            <w:vAlign w:val="center"/>
            <w:hideMark/>
          </w:tcPr>
          <w:p w14:paraId="779973B2"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Amortization of acquired intangible assets and of tangible assets revaluation</w:t>
            </w:r>
          </w:p>
        </w:tc>
        <w:tc>
          <w:tcPr>
            <w:tcW w:w="775" w:type="dxa"/>
            <w:tcBorders>
              <w:left w:val="single" w:sz="4" w:space="0" w:color="auto"/>
            </w:tcBorders>
            <w:shd w:val="clear" w:color="000000" w:fill="FFFFFF"/>
            <w:noWrap/>
            <w:vAlign w:val="center"/>
          </w:tcPr>
          <w:p w14:paraId="54F86062"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(100.5)</w:t>
            </w:r>
          </w:p>
        </w:tc>
        <w:tc>
          <w:tcPr>
            <w:tcW w:w="992" w:type="dxa"/>
            <w:shd w:val="clear" w:color="000000" w:fill="FFFFFF"/>
            <w:noWrap/>
            <w:vAlign w:val="center"/>
          </w:tcPr>
          <w:p w14:paraId="57967F05"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100.5</w:t>
            </w:r>
          </w:p>
        </w:tc>
        <w:tc>
          <w:tcPr>
            <w:tcW w:w="851" w:type="dxa"/>
            <w:tcBorders>
              <w:right w:val="single" w:sz="4" w:space="0" w:color="auto"/>
            </w:tcBorders>
            <w:shd w:val="clear" w:color="000000" w:fill="FFFFFF"/>
            <w:noWrap/>
            <w:vAlign w:val="center"/>
          </w:tcPr>
          <w:p w14:paraId="4393C07A"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w:t>
            </w:r>
          </w:p>
        </w:tc>
        <w:tc>
          <w:tcPr>
            <w:tcW w:w="900" w:type="dxa"/>
            <w:tcBorders>
              <w:left w:val="single" w:sz="4" w:space="0" w:color="auto"/>
            </w:tcBorders>
            <w:shd w:val="clear" w:color="auto" w:fill="auto"/>
            <w:noWrap/>
            <w:vAlign w:val="center"/>
          </w:tcPr>
          <w:p w14:paraId="164BE41C"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(50.9)</w:t>
            </w:r>
          </w:p>
        </w:tc>
        <w:tc>
          <w:tcPr>
            <w:tcW w:w="0" w:type="auto"/>
            <w:shd w:val="clear" w:color="auto" w:fill="auto"/>
            <w:noWrap/>
            <w:vAlign w:val="center"/>
          </w:tcPr>
          <w:p w14:paraId="787ACD33"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50.9</w:t>
            </w:r>
          </w:p>
        </w:tc>
        <w:tc>
          <w:tcPr>
            <w:tcW w:w="898" w:type="dxa"/>
            <w:tcBorders>
              <w:right w:val="single" w:sz="4" w:space="0" w:color="auto"/>
            </w:tcBorders>
            <w:shd w:val="clear" w:color="auto" w:fill="auto"/>
            <w:noWrap/>
            <w:vAlign w:val="center"/>
          </w:tcPr>
          <w:p w14:paraId="1A1F253A"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w:t>
            </w:r>
          </w:p>
        </w:tc>
        <w:tc>
          <w:tcPr>
            <w:tcW w:w="714" w:type="dxa"/>
            <w:tcBorders>
              <w:left w:val="single" w:sz="4" w:space="0" w:color="auto"/>
            </w:tcBorders>
            <w:shd w:val="clear" w:color="000000" w:fill="FFFFFF"/>
            <w:noWrap/>
            <w:vAlign w:val="center"/>
          </w:tcPr>
          <w:p w14:paraId="37E3D3C0"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p>
        </w:tc>
        <w:tc>
          <w:tcPr>
            <w:tcW w:w="703" w:type="dxa"/>
            <w:shd w:val="clear" w:color="000000" w:fill="FFFFFF"/>
            <w:noWrap/>
            <w:vAlign w:val="center"/>
          </w:tcPr>
          <w:p w14:paraId="3A3F30A3"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p>
        </w:tc>
      </w:tr>
      <w:tr w:rsidR="0044035E" w:rsidRPr="00CA4A72" w14:paraId="1DDA7A38" w14:textId="77777777" w:rsidTr="006A1A41">
        <w:trPr>
          <w:trHeight w:val="170"/>
        </w:trPr>
        <w:tc>
          <w:tcPr>
            <w:tcW w:w="2901" w:type="dxa"/>
            <w:tcBorders>
              <w:top w:val="nil"/>
              <w:bottom w:val="nil"/>
              <w:right w:val="single" w:sz="4" w:space="0" w:color="auto"/>
            </w:tcBorders>
            <w:vAlign w:val="center"/>
          </w:tcPr>
          <w:p w14:paraId="2FB24278" w14:textId="77777777" w:rsidR="0044035E" w:rsidRPr="00CA4A72" w:rsidRDefault="0044035E" w:rsidP="006A1A41">
            <w:pPr>
              <w:spacing w:line="276" w:lineRule="auto"/>
              <w:rPr>
                <w:rFonts w:asciiTheme="minorHAnsi" w:hAnsiTheme="minorHAnsi" w:cstheme="minorHAnsi"/>
                <w:sz w:val="12"/>
                <w:szCs w:val="12"/>
              </w:rPr>
            </w:pPr>
            <w:r w:rsidRPr="00CA4A72">
              <w:rPr>
                <w:rFonts w:asciiTheme="minorHAnsi" w:hAnsiTheme="minorHAnsi" w:cstheme="minorHAnsi"/>
                <w:sz w:val="12"/>
                <w:szCs w:val="12"/>
              </w:rPr>
              <w:t>Lease incentives of acquired companies</w:t>
            </w:r>
          </w:p>
        </w:tc>
        <w:tc>
          <w:tcPr>
            <w:tcW w:w="775" w:type="dxa"/>
            <w:tcBorders>
              <w:left w:val="single" w:sz="4" w:space="0" w:color="auto"/>
            </w:tcBorders>
            <w:shd w:val="clear" w:color="000000" w:fill="FFFFFF"/>
            <w:noWrap/>
            <w:vAlign w:val="center"/>
          </w:tcPr>
          <w:p w14:paraId="64ACC923"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(0.7)</w:t>
            </w:r>
          </w:p>
        </w:tc>
        <w:tc>
          <w:tcPr>
            <w:tcW w:w="992" w:type="dxa"/>
            <w:shd w:val="clear" w:color="000000" w:fill="FFFFFF"/>
            <w:noWrap/>
            <w:vAlign w:val="center"/>
          </w:tcPr>
          <w:p w14:paraId="53AD31DC"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0.7</w:t>
            </w:r>
          </w:p>
        </w:tc>
        <w:tc>
          <w:tcPr>
            <w:tcW w:w="851" w:type="dxa"/>
            <w:tcBorders>
              <w:right w:val="single" w:sz="4" w:space="0" w:color="auto"/>
            </w:tcBorders>
            <w:shd w:val="clear" w:color="000000" w:fill="FFFFFF"/>
            <w:noWrap/>
            <w:vAlign w:val="center"/>
          </w:tcPr>
          <w:p w14:paraId="365E9F36"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w:t>
            </w:r>
          </w:p>
        </w:tc>
        <w:tc>
          <w:tcPr>
            <w:tcW w:w="900" w:type="dxa"/>
            <w:tcBorders>
              <w:left w:val="single" w:sz="4" w:space="0" w:color="auto"/>
            </w:tcBorders>
            <w:shd w:val="clear" w:color="auto" w:fill="auto"/>
            <w:noWrap/>
            <w:vAlign w:val="center"/>
          </w:tcPr>
          <w:p w14:paraId="670EAFBC" w14:textId="77777777" w:rsidR="0044035E" w:rsidRPr="00A455FD" w:rsidRDefault="0044035E" w:rsidP="006A1A41">
            <w:pPr>
              <w:spacing w:line="276" w:lineRule="auto"/>
              <w:jc w:val="center"/>
              <w:rPr>
                <w:rFonts w:asciiTheme="minorHAnsi" w:hAnsiTheme="minorHAnsi" w:cstheme="minorHAnsi"/>
                <w:sz w:val="12"/>
                <w:szCs w:val="12"/>
              </w:rPr>
            </w:pPr>
            <w:r w:rsidRPr="00A455FD">
              <w:rPr>
                <w:rFonts w:asciiTheme="minorHAnsi" w:hAnsiTheme="minorHAnsi" w:cstheme="minorHAnsi"/>
                <w:color w:val="000000"/>
                <w:sz w:val="12"/>
                <w:szCs w:val="12"/>
              </w:rPr>
              <w:t>-</w:t>
            </w:r>
          </w:p>
        </w:tc>
        <w:tc>
          <w:tcPr>
            <w:tcW w:w="0" w:type="auto"/>
            <w:shd w:val="clear" w:color="auto" w:fill="auto"/>
            <w:noWrap/>
            <w:vAlign w:val="center"/>
          </w:tcPr>
          <w:p w14:paraId="3978A653" w14:textId="77777777" w:rsidR="0044035E" w:rsidRPr="00A455FD" w:rsidRDefault="0044035E" w:rsidP="006A1A41">
            <w:pPr>
              <w:spacing w:line="276" w:lineRule="auto"/>
              <w:jc w:val="center"/>
              <w:rPr>
                <w:rFonts w:asciiTheme="minorHAnsi" w:hAnsiTheme="minorHAnsi" w:cstheme="minorHAnsi"/>
                <w:sz w:val="12"/>
                <w:szCs w:val="12"/>
              </w:rPr>
            </w:pPr>
            <w:r w:rsidRPr="00A455FD">
              <w:rPr>
                <w:rFonts w:asciiTheme="minorHAnsi" w:hAnsiTheme="minorHAnsi" w:cstheme="minorHAnsi"/>
                <w:color w:val="000000"/>
                <w:sz w:val="12"/>
                <w:szCs w:val="12"/>
              </w:rPr>
              <w:t>-</w:t>
            </w:r>
          </w:p>
        </w:tc>
        <w:tc>
          <w:tcPr>
            <w:tcW w:w="898" w:type="dxa"/>
            <w:tcBorders>
              <w:right w:val="single" w:sz="4" w:space="0" w:color="auto"/>
            </w:tcBorders>
            <w:shd w:val="clear" w:color="auto" w:fill="auto"/>
            <w:noWrap/>
            <w:vAlign w:val="center"/>
          </w:tcPr>
          <w:p w14:paraId="64918EA0" w14:textId="77777777" w:rsidR="0044035E" w:rsidRPr="00A455FD" w:rsidRDefault="0044035E" w:rsidP="006A1A41">
            <w:pPr>
              <w:spacing w:line="276" w:lineRule="auto"/>
              <w:jc w:val="center"/>
              <w:rPr>
                <w:rFonts w:asciiTheme="minorHAnsi" w:hAnsiTheme="minorHAnsi" w:cstheme="minorHAnsi"/>
                <w:sz w:val="12"/>
                <w:szCs w:val="12"/>
              </w:rPr>
            </w:pPr>
            <w:r w:rsidRPr="00A455FD">
              <w:rPr>
                <w:rFonts w:asciiTheme="minorHAnsi" w:hAnsiTheme="minorHAnsi" w:cstheme="minorHAnsi"/>
                <w:color w:val="000000"/>
                <w:sz w:val="12"/>
                <w:szCs w:val="12"/>
              </w:rPr>
              <w:t>-</w:t>
            </w:r>
          </w:p>
        </w:tc>
        <w:tc>
          <w:tcPr>
            <w:tcW w:w="714" w:type="dxa"/>
            <w:tcBorders>
              <w:left w:val="single" w:sz="4" w:space="0" w:color="auto"/>
            </w:tcBorders>
            <w:shd w:val="clear" w:color="000000" w:fill="FFFFFF"/>
            <w:noWrap/>
            <w:vAlign w:val="center"/>
          </w:tcPr>
          <w:p w14:paraId="3F196D1D"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p>
        </w:tc>
        <w:tc>
          <w:tcPr>
            <w:tcW w:w="703" w:type="dxa"/>
            <w:shd w:val="clear" w:color="000000" w:fill="FFFFFF"/>
            <w:noWrap/>
            <w:vAlign w:val="center"/>
          </w:tcPr>
          <w:p w14:paraId="4D7BB4F8"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p>
        </w:tc>
      </w:tr>
      <w:tr w:rsidR="0044035E" w:rsidRPr="00CA4A72" w14:paraId="57BB7E3B" w14:textId="77777777" w:rsidTr="006A1A41">
        <w:trPr>
          <w:trHeight w:val="170"/>
        </w:trPr>
        <w:tc>
          <w:tcPr>
            <w:tcW w:w="2901" w:type="dxa"/>
            <w:tcBorders>
              <w:top w:val="nil"/>
              <w:bottom w:val="single" w:sz="4" w:space="0" w:color="auto"/>
              <w:right w:val="single" w:sz="4" w:space="0" w:color="auto"/>
            </w:tcBorders>
            <w:vAlign w:val="center"/>
            <w:hideMark/>
          </w:tcPr>
          <w:p w14:paraId="618F6DF0"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Other operating income and expense, net</w:t>
            </w:r>
          </w:p>
        </w:tc>
        <w:tc>
          <w:tcPr>
            <w:tcW w:w="775" w:type="dxa"/>
            <w:tcBorders>
              <w:left w:val="single" w:sz="4" w:space="0" w:color="auto"/>
              <w:bottom w:val="single" w:sz="4" w:space="0" w:color="auto"/>
            </w:tcBorders>
            <w:shd w:val="clear" w:color="000000" w:fill="FFFFFF"/>
            <w:noWrap/>
            <w:vAlign w:val="center"/>
          </w:tcPr>
          <w:p w14:paraId="567987D9"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(12.9)</w:t>
            </w:r>
          </w:p>
        </w:tc>
        <w:tc>
          <w:tcPr>
            <w:tcW w:w="992" w:type="dxa"/>
            <w:tcBorders>
              <w:bottom w:val="single" w:sz="4" w:space="0" w:color="auto"/>
            </w:tcBorders>
            <w:shd w:val="clear" w:color="000000" w:fill="FFFFFF"/>
            <w:noWrap/>
            <w:vAlign w:val="center"/>
          </w:tcPr>
          <w:p w14:paraId="0F5D6CBF"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12.9</w:t>
            </w:r>
          </w:p>
        </w:tc>
        <w:tc>
          <w:tcPr>
            <w:tcW w:w="851" w:type="dxa"/>
            <w:tcBorders>
              <w:bottom w:val="single" w:sz="4" w:space="0" w:color="auto"/>
              <w:right w:val="single" w:sz="4" w:space="0" w:color="auto"/>
            </w:tcBorders>
            <w:shd w:val="clear" w:color="000000" w:fill="FFFFFF"/>
            <w:noWrap/>
            <w:vAlign w:val="center"/>
          </w:tcPr>
          <w:p w14:paraId="0E2197DB"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w:t>
            </w:r>
          </w:p>
        </w:tc>
        <w:tc>
          <w:tcPr>
            <w:tcW w:w="900" w:type="dxa"/>
            <w:tcBorders>
              <w:left w:val="single" w:sz="4" w:space="0" w:color="auto"/>
              <w:bottom w:val="single" w:sz="4" w:space="0" w:color="auto"/>
            </w:tcBorders>
            <w:shd w:val="clear" w:color="auto" w:fill="auto"/>
            <w:noWrap/>
            <w:vAlign w:val="center"/>
          </w:tcPr>
          <w:p w14:paraId="39CB7670"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(24.9)</w:t>
            </w:r>
          </w:p>
        </w:tc>
        <w:tc>
          <w:tcPr>
            <w:tcW w:w="0" w:type="auto"/>
            <w:tcBorders>
              <w:bottom w:val="single" w:sz="4" w:space="0" w:color="auto"/>
            </w:tcBorders>
            <w:shd w:val="clear" w:color="auto" w:fill="auto"/>
            <w:noWrap/>
            <w:vAlign w:val="center"/>
          </w:tcPr>
          <w:p w14:paraId="4D8B8446"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24.9</w:t>
            </w:r>
          </w:p>
        </w:tc>
        <w:tc>
          <w:tcPr>
            <w:tcW w:w="898" w:type="dxa"/>
            <w:tcBorders>
              <w:bottom w:val="single" w:sz="4" w:space="0" w:color="auto"/>
              <w:right w:val="single" w:sz="4" w:space="0" w:color="auto"/>
            </w:tcBorders>
            <w:shd w:val="clear" w:color="auto" w:fill="auto"/>
            <w:noWrap/>
            <w:vAlign w:val="center"/>
          </w:tcPr>
          <w:p w14:paraId="7C5E463F"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w:t>
            </w:r>
          </w:p>
        </w:tc>
        <w:tc>
          <w:tcPr>
            <w:tcW w:w="714" w:type="dxa"/>
            <w:tcBorders>
              <w:left w:val="single" w:sz="4" w:space="0" w:color="auto"/>
              <w:bottom w:val="single" w:sz="4" w:space="0" w:color="auto"/>
            </w:tcBorders>
            <w:shd w:val="clear" w:color="000000" w:fill="FFFFFF"/>
            <w:noWrap/>
            <w:vAlign w:val="center"/>
          </w:tcPr>
          <w:p w14:paraId="47B9D067"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p>
        </w:tc>
        <w:tc>
          <w:tcPr>
            <w:tcW w:w="703" w:type="dxa"/>
            <w:tcBorders>
              <w:bottom w:val="single" w:sz="4" w:space="0" w:color="auto"/>
            </w:tcBorders>
            <w:shd w:val="clear" w:color="000000" w:fill="FFFFFF"/>
            <w:noWrap/>
            <w:vAlign w:val="center"/>
          </w:tcPr>
          <w:p w14:paraId="3E7CE073"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p>
        </w:tc>
      </w:tr>
      <w:tr w:rsidR="0044035E" w:rsidRPr="00CA4A72" w14:paraId="3562ED3E" w14:textId="77777777" w:rsidTr="006A1A41">
        <w:trPr>
          <w:trHeight w:val="170"/>
        </w:trPr>
        <w:tc>
          <w:tcPr>
            <w:tcW w:w="2901" w:type="dxa"/>
            <w:tcBorders>
              <w:top w:val="single" w:sz="4" w:space="0" w:color="auto"/>
              <w:bottom w:val="nil"/>
              <w:right w:val="single" w:sz="4" w:space="0" w:color="auto"/>
            </w:tcBorders>
            <w:vAlign w:val="center"/>
            <w:hideMark/>
          </w:tcPr>
          <w:p w14:paraId="4EE69132" w14:textId="77777777" w:rsidR="0044035E" w:rsidRPr="00CA4A72" w:rsidRDefault="0044035E" w:rsidP="006A1A41">
            <w:pPr>
              <w:spacing w:line="276" w:lineRule="auto"/>
              <w:rPr>
                <w:rFonts w:asciiTheme="minorHAnsi" w:eastAsia="Times New Roman" w:hAnsiTheme="minorHAnsi" w:cstheme="minorHAnsi"/>
                <w:b/>
                <w:bCs/>
                <w:sz w:val="12"/>
                <w:szCs w:val="12"/>
                <w:lang w:eastAsia="en-GB"/>
              </w:rPr>
            </w:pPr>
            <w:r w:rsidRPr="00CA4A72">
              <w:rPr>
                <w:rFonts w:asciiTheme="minorHAnsi" w:hAnsiTheme="minorHAnsi" w:cstheme="minorHAnsi"/>
                <w:b/>
                <w:bCs/>
                <w:sz w:val="12"/>
                <w:szCs w:val="12"/>
              </w:rPr>
              <w:t>Operating Income</w:t>
            </w:r>
          </w:p>
        </w:tc>
        <w:tc>
          <w:tcPr>
            <w:tcW w:w="775" w:type="dxa"/>
            <w:tcBorders>
              <w:top w:val="single" w:sz="4" w:space="0" w:color="auto"/>
              <w:left w:val="single" w:sz="4" w:space="0" w:color="auto"/>
              <w:bottom w:val="nil"/>
            </w:tcBorders>
            <w:shd w:val="clear" w:color="000000" w:fill="FFFFFF"/>
            <w:noWrap/>
            <w:vAlign w:val="center"/>
          </w:tcPr>
          <w:p w14:paraId="7E5D1D5A"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€ 110.7</w:t>
            </w:r>
          </w:p>
        </w:tc>
        <w:tc>
          <w:tcPr>
            <w:tcW w:w="992" w:type="dxa"/>
            <w:tcBorders>
              <w:top w:val="single" w:sz="4" w:space="0" w:color="auto"/>
              <w:bottom w:val="nil"/>
            </w:tcBorders>
            <w:shd w:val="clear" w:color="000000" w:fill="FFFFFF"/>
            <w:noWrap/>
            <w:vAlign w:val="center"/>
          </w:tcPr>
          <w:p w14:paraId="553BFF01"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€ 175.6</w:t>
            </w:r>
          </w:p>
        </w:tc>
        <w:tc>
          <w:tcPr>
            <w:tcW w:w="851" w:type="dxa"/>
            <w:tcBorders>
              <w:top w:val="single" w:sz="4" w:space="0" w:color="auto"/>
              <w:bottom w:val="nil"/>
              <w:right w:val="single" w:sz="4" w:space="0" w:color="auto"/>
            </w:tcBorders>
            <w:shd w:val="clear" w:color="000000" w:fill="FFFFFF"/>
            <w:noWrap/>
            <w:vAlign w:val="center"/>
          </w:tcPr>
          <w:p w14:paraId="79B2A632"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€ 286.2</w:t>
            </w:r>
          </w:p>
        </w:tc>
        <w:tc>
          <w:tcPr>
            <w:tcW w:w="900" w:type="dxa"/>
            <w:tcBorders>
              <w:top w:val="single" w:sz="4" w:space="0" w:color="auto"/>
              <w:left w:val="single" w:sz="4" w:space="0" w:color="auto"/>
              <w:bottom w:val="nil"/>
            </w:tcBorders>
            <w:shd w:val="clear" w:color="auto" w:fill="auto"/>
            <w:noWrap/>
            <w:vAlign w:val="center"/>
          </w:tcPr>
          <w:p w14:paraId="559ECE63"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€ 182.2</w:t>
            </w:r>
          </w:p>
        </w:tc>
        <w:tc>
          <w:tcPr>
            <w:tcW w:w="0" w:type="auto"/>
            <w:tcBorders>
              <w:top w:val="single" w:sz="4" w:space="0" w:color="auto"/>
              <w:bottom w:val="nil"/>
            </w:tcBorders>
            <w:shd w:val="clear" w:color="auto" w:fill="auto"/>
            <w:noWrap/>
            <w:vAlign w:val="center"/>
          </w:tcPr>
          <w:p w14:paraId="4860A07A"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€ 114.1</w:t>
            </w:r>
          </w:p>
        </w:tc>
        <w:tc>
          <w:tcPr>
            <w:tcW w:w="898" w:type="dxa"/>
            <w:tcBorders>
              <w:top w:val="single" w:sz="4" w:space="0" w:color="auto"/>
              <w:bottom w:val="nil"/>
              <w:right w:val="single" w:sz="4" w:space="0" w:color="auto"/>
            </w:tcBorders>
            <w:shd w:val="clear" w:color="auto" w:fill="auto"/>
            <w:noWrap/>
            <w:vAlign w:val="center"/>
          </w:tcPr>
          <w:p w14:paraId="3DF95378"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€ 296.2</w:t>
            </w:r>
          </w:p>
        </w:tc>
        <w:tc>
          <w:tcPr>
            <w:tcW w:w="714" w:type="dxa"/>
            <w:tcBorders>
              <w:top w:val="single" w:sz="4" w:space="0" w:color="auto"/>
              <w:left w:val="single" w:sz="4" w:space="0" w:color="auto"/>
              <w:bottom w:val="nil"/>
            </w:tcBorders>
            <w:shd w:val="clear" w:color="000000" w:fill="FFFFFF"/>
            <w:vAlign w:val="center"/>
          </w:tcPr>
          <w:p w14:paraId="2103F2B2"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(39)%</w:t>
            </w:r>
          </w:p>
        </w:tc>
        <w:tc>
          <w:tcPr>
            <w:tcW w:w="703" w:type="dxa"/>
            <w:tcBorders>
              <w:top w:val="single" w:sz="4" w:space="0" w:color="auto"/>
              <w:bottom w:val="nil"/>
            </w:tcBorders>
            <w:shd w:val="clear" w:color="000000" w:fill="FFFFFF"/>
            <w:vAlign w:val="center"/>
          </w:tcPr>
          <w:p w14:paraId="2F8250CF"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(3)%</w:t>
            </w:r>
          </w:p>
        </w:tc>
      </w:tr>
      <w:tr w:rsidR="0044035E" w:rsidRPr="00CA4A72" w14:paraId="123D7BCC" w14:textId="77777777" w:rsidTr="006A1A41">
        <w:trPr>
          <w:trHeight w:val="170"/>
        </w:trPr>
        <w:tc>
          <w:tcPr>
            <w:tcW w:w="2901" w:type="dxa"/>
            <w:tcBorders>
              <w:top w:val="nil"/>
              <w:bottom w:val="nil"/>
              <w:right w:val="single" w:sz="4" w:space="0" w:color="auto"/>
            </w:tcBorders>
            <w:vAlign w:val="center"/>
            <w:hideMark/>
          </w:tcPr>
          <w:p w14:paraId="2F342769" w14:textId="77777777" w:rsidR="0044035E" w:rsidRPr="00CA4A72" w:rsidRDefault="0044035E" w:rsidP="006A1A41">
            <w:pPr>
              <w:spacing w:line="276" w:lineRule="auto"/>
              <w:rPr>
                <w:rFonts w:asciiTheme="minorHAnsi" w:eastAsia="Times New Roman" w:hAnsiTheme="minorHAnsi" w:cstheme="minorHAnsi"/>
                <w:b/>
                <w:bCs/>
                <w:sz w:val="12"/>
                <w:szCs w:val="12"/>
                <w:lang w:eastAsia="en-GB"/>
              </w:rPr>
            </w:pPr>
            <w:r w:rsidRPr="00CA4A72">
              <w:rPr>
                <w:rFonts w:asciiTheme="minorHAnsi" w:hAnsiTheme="minorHAnsi" w:cstheme="minorHAnsi"/>
                <w:b/>
                <w:bCs/>
                <w:sz w:val="12"/>
                <w:szCs w:val="12"/>
              </w:rPr>
              <w:t xml:space="preserve">Operating Margin </w:t>
            </w:r>
          </w:p>
        </w:tc>
        <w:tc>
          <w:tcPr>
            <w:tcW w:w="775" w:type="dxa"/>
            <w:tcBorders>
              <w:top w:val="nil"/>
              <w:left w:val="single" w:sz="4" w:space="0" w:color="auto"/>
            </w:tcBorders>
            <w:shd w:val="clear" w:color="000000" w:fill="FFFFFF"/>
            <w:noWrap/>
            <w:vAlign w:val="center"/>
          </w:tcPr>
          <w:p w14:paraId="7ED8B059"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10.4%</w:t>
            </w:r>
          </w:p>
        </w:tc>
        <w:tc>
          <w:tcPr>
            <w:tcW w:w="992" w:type="dxa"/>
            <w:tcBorders>
              <w:top w:val="nil"/>
            </w:tcBorders>
            <w:shd w:val="clear" w:color="000000" w:fill="FFFFFF"/>
            <w:noWrap/>
            <w:vAlign w:val="center"/>
          </w:tcPr>
          <w:p w14:paraId="59F231EE"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p>
        </w:tc>
        <w:tc>
          <w:tcPr>
            <w:tcW w:w="851" w:type="dxa"/>
            <w:tcBorders>
              <w:top w:val="nil"/>
              <w:right w:val="single" w:sz="4" w:space="0" w:color="auto"/>
            </w:tcBorders>
            <w:shd w:val="clear" w:color="000000" w:fill="FFFFFF"/>
            <w:noWrap/>
            <w:vAlign w:val="center"/>
          </w:tcPr>
          <w:p w14:paraId="3B724B02"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26.7%</w:t>
            </w:r>
          </w:p>
        </w:tc>
        <w:tc>
          <w:tcPr>
            <w:tcW w:w="900" w:type="dxa"/>
            <w:tcBorders>
              <w:top w:val="nil"/>
              <w:left w:val="single" w:sz="4" w:space="0" w:color="auto"/>
            </w:tcBorders>
            <w:shd w:val="clear" w:color="000000" w:fill="FFFFFF"/>
            <w:noWrap/>
            <w:vAlign w:val="center"/>
          </w:tcPr>
          <w:p w14:paraId="2AB45382"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18.9%</w:t>
            </w:r>
          </w:p>
        </w:tc>
        <w:tc>
          <w:tcPr>
            <w:tcW w:w="0" w:type="auto"/>
            <w:tcBorders>
              <w:top w:val="nil"/>
            </w:tcBorders>
            <w:shd w:val="clear" w:color="000000" w:fill="FFFFFF"/>
            <w:noWrap/>
            <w:vAlign w:val="center"/>
          </w:tcPr>
          <w:p w14:paraId="62F47C83"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p>
        </w:tc>
        <w:tc>
          <w:tcPr>
            <w:tcW w:w="898" w:type="dxa"/>
            <w:tcBorders>
              <w:top w:val="nil"/>
              <w:right w:val="single" w:sz="4" w:space="0" w:color="auto"/>
            </w:tcBorders>
            <w:shd w:val="clear" w:color="000000" w:fill="FFFFFF"/>
            <w:noWrap/>
            <w:vAlign w:val="center"/>
          </w:tcPr>
          <w:p w14:paraId="5859A912"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30.7%</w:t>
            </w:r>
          </w:p>
        </w:tc>
        <w:tc>
          <w:tcPr>
            <w:tcW w:w="714" w:type="dxa"/>
            <w:tcBorders>
              <w:top w:val="nil"/>
              <w:left w:val="single" w:sz="4" w:space="0" w:color="auto"/>
            </w:tcBorders>
            <w:shd w:val="clear" w:color="000000" w:fill="FFFFFF"/>
            <w:vAlign w:val="center"/>
          </w:tcPr>
          <w:p w14:paraId="02B7FE92"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p>
        </w:tc>
        <w:tc>
          <w:tcPr>
            <w:tcW w:w="703" w:type="dxa"/>
            <w:tcBorders>
              <w:top w:val="nil"/>
            </w:tcBorders>
            <w:shd w:val="clear" w:color="000000" w:fill="FFFFFF"/>
            <w:vAlign w:val="center"/>
          </w:tcPr>
          <w:p w14:paraId="67ADD126"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p>
        </w:tc>
      </w:tr>
      <w:tr w:rsidR="0044035E" w:rsidRPr="00CA4A72" w14:paraId="355935B9" w14:textId="77777777" w:rsidTr="006A1A41">
        <w:trPr>
          <w:trHeight w:val="170"/>
        </w:trPr>
        <w:tc>
          <w:tcPr>
            <w:tcW w:w="2901" w:type="dxa"/>
            <w:tcBorders>
              <w:top w:val="nil"/>
              <w:bottom w:val="nil"/>
              <w:right w:val="single" w:sz="4" w:space="0" w:color="auto"/>
            </w:tcBorders>
            <w:vAlign w:val="center"/>
            <w:hideMark/>
          </w:tcPr>
          <w:p w14:paraId="5BC2F52F"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r w:rsidRPr="007F7C5D">
              <w:rPr>
                <w:rFonts w:asciiTheme="minorHAnsi" w:hAnsiTheme="minorHAnsi" w:cstheme="minorHAnsi"/>
                <w:sz w:val="12"/>
                <w:szCs w:val="12"/>
              </w:rPr>
              <w:t>Financial income (loss), net</w:t>
            </w:r>
          </w:p>
        </w:tc>
        <w:tc>
          <w:tcPr>
            <w:tcW w:w="775" w:type="dxa"/>
            <w:tcBorders>
              <w:left w:val="single" w:sz="4" w:space="0" w:color="auto"/>
            </w:tcBorders>
            <w:shd w:val="clear" w:color="000000" w:fill="FFFFFF"/>
            <w:noWrap/>
            <w:vAlign w:val="center"/>
          </w:tcPr>
          <w:p w14:paraId="6144EF21"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(6.5)</w:t>
            </w:r>
          </w:p>
        </w:tc>
        <w:tc>
          <w:tcPr>
            <w:tcW w:w="992" w:type="dxa"/>
            <w:shd w:val="clear" w:color="000000" w:fill="FFFFFF"/>
            <w:noWrap/>
            <w:vAlign w:val="center"/>
          </w:tcPr>
          <w:p w14:paraId="2C96A3C6"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0.3</w:t>
            </w:r>
          </w:p>
        </w:tc>
        <w:tc>
          <w:tcPr>
            <w:tcW w:w="851" w:type="dxa"/>
            <w:tcBorders>
              <w:right w:val="single" w:sz="4" w:space="0" w:color="auto"/>
            </w:tcBorders>
            <w:shd w:val="clear" w:color="000000" w:fill="FFFFFF"/>
            <w:noWrap/>
            <w:vAlign w:val="center"/>
          </w:tcPr>
          <w:p w14:paraId="2A15B427"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(6.2)</w:t>
            </w:r>
          </w:p>
        </w:tc>
        <w:tc>
          <w:tcPr>
            <w:tcW w:w="900" w:type="dxa"/>
            <w:tcBorders>
              <w:left w:val="single" w:sz="4" w:space="0" w:color="auto"/>
            </w:tcBorders>
            <w:shd w:val="clear" w:color="000000" w:fill="FFFFFF"/>
            <w:noWrap/>
            <w:vAlign w:val="center"/>
          </w:tcPr>
          <w:p w14:paraId="1DAD121D"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0.2</w:t>
            </w:r>
          </w:p>
        </w:tc>
        <w:tc>
          <w:tcPr>
            <w:tcW w:w="0" w:type="auto"/>
            <w:shd w:val="clear" w:color="000000" w:fill="FFFFFF"/>
            <w:noWrap/>
            <w:vAlign w:val="center"/>
          </w:tcPr>
          <w:p w14:paraId="139CA320"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(0.2)</w:t>
            </w:r>
          </w:p>
        </w:tc>
        <w:tc>
          <w:tcPr>
            <w:tcW w:w="898" w:type="dxa"/>
            <w:tcBorders>
              <w:right w:val="single" w:sz="4" w:space="0" w:color="auto"/>
            </w:tcBorders>
            <w:shd w:val="clear" w:color="000000" w:fill="FFFFFF"/>
            <w:noWrap/>
            <w:vAlign w:val="center"/>
          </w:tcPr>
          <w:p w14:paraId="7B2ACC20"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(0.1)</w:t>
            </w:r>
          </w:p>
        </w:tc>
        <w:tc>
          <w:tcPr>
            <w:tcW w:w="714" w:type="dxa"/>
            <w:tcBorders>
              <w:left w:val="single" w:sz="4" w:space="0" w:color="auto"/>
            </w:tcBorders>
            <w:shd w:val="clear" w:color="000000" w:fill="FFFFFF"/>
            <w:vAlign w:val="center"/>
          </w:tcPr>
          <w:p w14:paraId="33E5EF19"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N/A</w:t>
            </w:r>
          </w:p>
        </w:tc>
        <w:tc>
          <w:tcPr>
            <w:tcW w:w="703" w:type="dxa"/>
            <w:shd w:val="clear" w:color="000000" w:fill="FFFFFF"/>
            <w:vAlign w:val="center"/>
          </w:tcPr>
          <w:p w14:paraId="17125525"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N/A</w:t>
            </w:r>
          </w:p>
        </w:tc>
      </w:tr>
      <w:tr w:rsidR="0044035E" w:rsidRPr="00CA4A72" w14:paraId="5763A016" w14:textId="77777777" w:rsidTr="006A1A41">
        <w:trPr>
          <w:trHeight w:val="170"/>
        </w:trPr>
        <w:tc>
          <w:tcPr>
            <w:tcW w:w="2901" w:type="dxa"/>
            <w:tcBorders>
              <w:top w:val="nil"/>
              <w:bottom w:val="nil"/>
              <w:right w:val="single" w:sz="4" w:space="0" w:color="auto"/>
            </w:tcBorders>
            <w:vAlign w:val="center"/>
            <w:hideMark/>
          </w:tcPr>
          <w:p w14:paraId="3A6EC669"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Income tax expense</w:t>
            </w:r>
          </w:p>
        </w:tc>
        <w:tc>
          <w:tcPr>
            <w:tcW w:w="775" w:type="dxa"/>
            <w:tcBorders>
              <w:left w:val="single" w:sz="4" w:space="0" w:color="auto"/>
            </w:tcBorders>
            <w:shd w:val="clear" w:color="000000" w:fill="FFFFFF"/>
            <w:noWrap/>
            <w:vAlign w:val="center"/>
          </w:tcPr>
          <w:p w14:paraId="46BE7992"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(24.1)</w:t>
            </w:r>
          </w:p>
        </w:tc>
        <w:tc>
          <w:tcPr>
            <w:tcW w:w="992" w:type="dxa"/>
            <w:shd w:val="clear" w:color="000000" w:fill="FFFFFF"/>
            <w:noWrap/>
            <w:vAlign w:val="center"/>
          </w:tcPr>
          <w:p w14:paraId="144A9E33"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(46.2)</w:t>
            </w:r>
          </w:p>
        </w:tc>
        <w:tc>
          <w:tcPr>
            <w:tcW w:w="851" w:type="dxa"/>
            <w:tcBorders>
              <w:right w:val="single" w:sz="4" w:space="0" w:color="auto"/>
            </w:tcBorders>
            <w:shd w:val="clear" w:color="000000" w:fill="FFFFFF"/>
            <w:noWrap/>
            <w:vAlign w:val="center"/>
          </w:tcPr>
          <w:p w14:paraId="0DA3BAEF"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(70.3)</w:t>
            </w:r>
          </w:p>
        </w:tc>
        <w:tc>
          <w:tcPr>
            <w:tcW w:w="900" w:type="dxa"/>
            <w:tcBorders>
              <w:left w:val="single" w:sz="4" w:space="0" w:color="auto"/>
            </w:tcBorders>
            <w:shd w:val="clear" w:color="000000" w:fill="FFFFFF"/>
            <w:noWrap/>
            <w:vAlign w:val="center"/>
          </w:tcPr>
          <w:p w14:paraId="5D472356"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(51.1)</w:t>
            </w:r>
          </w:p>
        </w:tc>
        <w:tc>
          <w:tcPr>
            <w:tcW w:w="0" w:type="auto"/>
            <w:shd w:val="clear" w:color="000000" w:fill="FFFFFF"/>
            <w:noWrap/>
            <w:vAlign w:val="center"/>
          </w:tcPr>
          <w:p w14:paraId="0D238325"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(32.2)</w:t>
            </w:r>
          </w:p>
        </w:tc>
        <w:tc>
          <w:tcPr>
            <w:tcW w:w="898" w:type="dxa"/>
            <w:tcBorders>
              <w:right w:val="single" w:sz="4" w:space="0" w:color="auto"/>
            </w:tcBorders>
            <w:shd w:val="clear" w:color="000000" w:fill="FFFFFF"/>
            <w:noWrap/>
            <w:vAlign w:val="center"/>
          </w:tcPr>
          <w:p w14:paraId="266AE14F"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(83.3)</w:t>
            </w:r>
          </w:p>
        </w:tc>
        <w:tc>
          <w:tcPr>
            <w:tcW w:w="714" w:type="dxa"/>
            <w:tcBorders>
              <w:left w:val="single" w:sz="4" w:space="0" w:color="auto"/>
            </w:tcBorders>
            <w:shd w:val="clear" w:color="000000" w:fill="FFFFFF"/>
            <w:vAlign w:val="center"/>
          </w:tcPr>
          <w:p w14:paraId="6D525662"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(53)%</w:t>
            </w:r>
          </w:p>
        </w:tc>
        <w:tc>
          <w:tcPr>
            <w:tcW w:w="703" w:type="dxa"/>
            <w:shd w:val="clear" w:color="000000" w:fill="FFFFFF"/>
            <w:vAlign w:val="center"/>
          </w:tcPr>
          <w:p w14:paraId="0AC8E0C5"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(16)%</w:t>
            </w:r>
          </w:p>
        </w:tc>
      </w:tr>
      <w:tr w:rsidR="0044035E" w:rsidRPr="00CA4A72" w14:paraId="5F252FED" w14:textId="77777777" w:rsidTr="006A1A41">
        <w:trPr>
          <w:trHeight w:val="170"/>
        </w:trPr>
        <w:tc>
          <w:tcPr>
            <w:tcW w:w="2901" w:type="dxa"/>
            <w:tcBorders>
              <w:top w:val="nil"/>
              <w:bottom w:val="nil"/>
              <w:right w:val="single" w:sz="4" w:space="0" w:color="auto"/>
            </w:tcBorders>
            <w:vAlign w:val="center"/>
            <w:hideMark/>
          </w:tcPr>
          <w:p w14:paraId="24014083"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Non-controlling interest</w:t>
            </w:r>
          </w:p>
        </w:tc>
        <w:tc>
          <w:tcPr>
            <w:tcW w:w="775" w:type="dxa"/>
            <w:tcBorders>
              <w:left w:val="single" w:sz="4" w:space="0" w:color="auto"/>
            </w:tcBorders>
            <w:shd w:val="clear" w:color="000000" w:fill="FFFFFF"/>
            <w:noWrap/>
            <w:vAlign w:val="center"/>
          </w:tcPr>
          <w:p w14:paraId="5F14B73B"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2.9</w:t>
            </w:r>
          </w:p>
        </w:tc>
        <w:tc>
          <w:tcPr>
            <w:tcW w:w="992" w:type="dxa"/>
            <w:shd w:val="clear" w:color="000000" w:fill="FFFFFF"/>
            <w:noWrap/>
            <w:vAlign w:val="center"/>
          </w:tcPr>
          <w:p w14:paraId="38C643E0"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(1.3)</w:t>
            </w:r>
          </w:p>
        </w:tc>
        <w:tc>
          <w:tcPr>
            <w:tcW w:w="851" w:type="dxa"/>
            <w:tcBorders>
              <w:right w:val="single" w:sz="4" w:space="0" w:color="auto"/>
            </w:tcBorders>
            <w:shd w:val="clear" w:color="000000" w:fill="FFFFFF"/>
            <w:noWrap/>
            <w:vAlign w:val="center"/>
          </w:tcPr>
          <w:p w14:paraId="2926C25E"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1.6</w:t>
            </w:r>
          </w:p>
        </w:tc>
        <w:tc>
          <w:tcPr>
            <w:tcW w:w="900" w:type="dxa"/>
            <w:tcBorders>
              <w:left w:val="single" w:sz="4" w:space="0" w:color="auto"/>
            </w:tcBorders>
            <w:shd w:val="clear" w:color="000000" w:fill="FFFFFF"/>
            <w:noWrap/>
            <w:vAlign w:val="center"/>
          </w:tcPr>
          <w:p w14:paraId="4EFB4965"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2.8</w:t>
            </w:r>
          </w:p>
        </w:tc>
        <w:tc>
          <w:tcPr>
            <w:tcW w:w="0" w:type="auto"/>
            <w:shd w:val="clear" w:color="000000" w:fill="FFFFFF"/>
            <w:noWrap/>
            <w:vAlign w:val="center"/>
          </w:tcPr>
          <w:p w14:paraId="193B78D7"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(1.6)</w:t>
            </w:r>
          </w:p>
        </w:tc>
        <w:tc>
          <w:tcPr>
            <w:tcW w:w="898" w:type="dxa"/>
            <w:tcBorders>
              <w:right w:val="single" w:sz="4" w:space="0" w:color="auto"/>
            </w:tcBorders>
            <w:shd w:val="clear" w:color="000000" w:fill="FFFFFF"/>
            <w:noWrap/>
            <w:vAlign w:val="center"/>
          </w:tcPr>
          <w:p w14:paraId="19979F15"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1.2</w:t>
            </w:r>
          </w:p>
        </w:tc>
        <w:tc>
          <w:tcPr>
            <w:tcW w:w="714" w:type="dxa"/>
            <w:tcBorders>
              <w:left w:val="single" w:sz="4" w:space="0" w:color="auto"/>
            </w:tcBorders>
            <w:shd w:val="clear" w:color="000000" w:fill="FFFFFF"/>
            <w:vAlign w:val="center"/>
          </w:tcPr>
          <w:p w14:paraId="68BEAD56"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w:t>
            </w:r>
          </w:p>
        </w:tc>
        <w:tc>
          <w:tcPr>
            <w:tcW w:w="703" w:type="dxa"/>
            <w:shd w:val="clear" w:color="000000" w:fill="FFFFFF"/>
            <w:vAlign w:val="center"/>
          </w:tcPr>
          <w:p w14:paraId="760CABBC"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33%</w:t>
            </w:r>
          </w:p>
        </w:tc>
      </w:tr>
      <w:tr w:rsidR="0044035E" w:rsidRPr="00CA4A72" w14:paraId="6E4953CA" w14:textId="77777777" w:rsidTr="006A1A41">
        <w:trPr>
          <w:trHeight w:val="170"/>
        </w:trPr>
        <w:tc>
          <w:tcPr>
            <w:tcW w:w="2901" w:type="dxa"/>
            <w:tcBorders>
              <w:top w:val="nil"/>
              <w:bottom w:val="nil"/>
              <w:right w:val="single" w:sz="4" w:space="0" w:color="auto"/>
            </w:tcBorders>
            <w:vAlign w:val="center"/>
            <w:hideMark/>
          </w:tcPr>
          <w:p w14:paraId="30AC6ED7" w14:textId="77777777" w:rsidR="0044035E" w:rsidRPr="00CA4A72" w:rsidRDefault="0044035E" w:rsidP="006A1A41">
            <w:pPr>
              <w:spacing w:line="276" w:lineRule="auto"/>
              <w:rPr>
                <w:rFonts w:asciiTheme="minorHAnsi" w:eastAsia="Times New Roman" w:hAnsiTheme="minorHAnsi" w:cstheme="minorHAnsi"/>
                <w:b/>
                <w:bCs/>
                <w:sz w:val="12"/>
                <w:szCs w:val="12"/>
                <w:lang w:eastAsia="en-GB"/>
              </w:rPr>
            </w:pPr>
            <w:r w:rsidRPr="00CA4A72">
              <w:rPr>
                <w:rFonts w:asciiTheme="minorHAnsi" w:hAnsiTheme="minorHAnsi" w:cstheme="minorHAnsi"/>
                <w:b/>
                <w:bCs/>
                <w:sz w:val="12"/>
                <w:szCs w:val="12"/>
              </w:rPr>
              <w:t>Net Income attributable to shareholders</w:t>
            </w:r>
          </w:p>
        </w:tc>
        <w:tc>
          <w:tcPr>
            <w:tcW w:w="775" w:type="dxa"/>
            <w:tcBorders>
              <w:left w:val="single" w:sz="4" w:space="0" w:color="auto"/>
            </w:tcBorders>
            <w:shd w:val="clear" w:color="000000" w:fill="FFFFFF"/>
            <w:noWrap/>
            <w:vAlign w:val="center"/>
          </w:tcPr>
          <w:p w14:paraId="6224FC7B"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€ 83.0</w:t>
            </w:r>
          </w:p>
        </w:tc>
        <w:tc>
          <w:tcPr>
            <w:tcW w:w="992" w:type="dxa"/>
            <w:shd w:val="clear" w:color="000000" w:fill="FFFFFF"/>
            <w:noWrap/>
            <w:vAlign w:val="center"/>
          </w:tcPr>
          <w:p w14:paraId="3FF6D460"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€ 128.4</w:t>
            </w:r>
          </w:p>
        </w:tc>
        <w:tc>
          <w:tcPr>
            <w:tcW w:w="851" w:type="dxa"/>
            <w:tcBorders>
              <w:right w:val="single" w:sz="4" w:space="0" w:color="auto"/>
            </w:tcBorders>
            <w:shd w:val="clear" w:color="000000" w:fill="FFFFFF"/>
            <w:noWrap/>
            <w:vAlign w:val="center"/>
          </w:tcPr>
          <w:p w14:paraId="7B3E2A9B"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€ 211.4</w:t>
            </w:r>
          </w:p>
        </w:tc>
        <w:tc>
          <w:tcPr>
            <w:tcW w:w="900" w:type="dxa"/>
            <w:tcBorders>
              <w:left w:val="single" w:sz="4" w:space="0" w:color="auto"/>
            </w:tcBorders>
            <w:shd w:val="clear" w:color="000000" w:fill="FFFFFF"/>
            <w:noWrap/>
            <w:vAlign w:val="center"/>
          </w:tcPr>
          <w:p w14:paraId="1AF5844E"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€ 134.1</w:t>
            </w:r>
          </w:p>
        </w:tc>
        <w:tc>
          <w:tcPr>
            <w:tcW w:w="0" w:type="auto"/>
            <w:shd w:val="clear" w:color="000000" w:fill="FFFFFF"/>
            <w:noWrap/>
            <w:vAlign w:val="center"/>
          </w:tcPr>
          <w:p w14:paraId="57E171E3"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€ 79.9</w:t>
            </w:r>
          </w:p>
        </w:tc>
        <w:tc>
          <w:tcPr>
            <w:tcW w:w="898" w:type="dxa"/>
            <w:tcBorders>
              <w:right w:val="single" w:sz="4" w:space="0" w:color="auto"/>
            </w:tcBorders>
            <w:shd w:val="clear" w:color="000000" w:fill="FFFFFF"/>
            <w:noWrap/>
            <w:vAlign w:val="center"/>
          </w:tcPr>
          <w:p w14:paraId="7EDAEB3A"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€ 214.0</w:t>
            </w:r>
          </w:p>
        </w:tc>
        <w:tc>
          <w:tcPr>
            <w:tcW w:w="714" w:type="dxa"/>
            <w:tcBorders>
              <w:left w:val="single" w:sz="4" w:space="0" w:color="auto"/>
            </w:tcBorders>
            <w:shd w:val="clear" w:color="000000" w:fill="FFFFFF"/>
            <w:vAlign w:val="center"/>
          </w:tcPr>
          <w:p w14:paraId="2F7F0123"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(38)%</w:t>
            </w:r>
          </w:p>
        </w:tc>
        <w:tc>
          <w:tcPr>
            <w:tcW w:w="703" w:type="dxa"/>
            <w:shd w:val="clear" w:color="000000" w:fill="FFFFFF"/>
            <w:vAlign w:val="center"/>
          </w:tcPr>
          <w:p w14:paraId="365B794D"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(1)%</w:t>
            </w:r>
          </w:p>
        </w:tc>
      </w:tr>
      <w:tr w:rsidR="0044035E" w:rsidRPr="00CA4A72" w14:paraId="7972C288" w14:textId="77777777" w:rsidTr="006A1A41">
        <w:trPr>
          <w:trHeight w:val="170"/>
        </w:trPr>
        <w:tc>
          <w:tcPr>
            <w:tcW w:w="2901" w:type="dxa"/>
            <w:tcBorders>
              <w:top w:val="nil"/>
              <w:bottom w:val="single" w:sz="4" w:space="0" w:color="auto"/>
              <w:right w:val="single" w:sz="4" w:space="0" w:color="auto"/>
            </w:tcBorders>
            <w:vAlign w:val="center"/>
            <w:hideMark/>
          </w:tcPr>
          <w:p w14:paraId="0E205DE7" w14:textId="77777777" w:rsidR="0044035E" w:rsidRPr="00CA4A72" w:rsidRDefault="0044035E" w:rsidP="006A1A41">
            <w:pPr>
              <w:spacing w:line="276" w:lineRule="auto"/>
              <w:rPr>
                <w:rFonts w:asciiTheme="minorHAnsi" w:eastAsia="Times New Roman" w:hAnsiTheme="minorHAnsi" w:cstheme="minorHAnsi"/>
                <w:b/>
                <w:bCs/>
                <w:sz w:val="12"/>
                <w:szCs w:val="12"/>
                <w:lang w:eastAsia="en-GB"/>
              </w:rPr>
            </w:pPr>
            <w:r w:rsidRPr="00CA4A72">
              <w:rPr>
                <w:rFonts w:asciiTheme="minorHAnsi" w:hAnsiTheme="minorHAnsi" w:cstheme="minorHAnsi"/>
                <w:b/>
                <w:bCs/>
                <w:sz w:val="12"/>
                <w:szCs w:val="12"/>
              </w:rPr>
              <w:t xml:space="preserve">Diluted Net Income Per Share </w:t>
            </w:r>
            <w:r w:rsidRPr="00CA4A72">
              <w:rPr>
                <w:rFonts w:asciiTheme="minorHAnsi" w:hAnsiTheme="minorHAnsi" w:cstheme="minorHAnsi"/>
                <w:b/>
                <w:bCs/>
                <w:sz w:val="12"/>
                <w:szCs w:val="12"/>
                <w:vertAlign w:val="superscript"/>
              </w:rPr>
              <w:t>(</w:t>
            </w:r>
            <w:r>
              <w:rPr>
                <w:rFonts w:asciiTheme="minorHAnsi" w:hAnsiTheme="minorHAnsi" w:cstheme="minorHAnsi"/>
                <w:b/>
                <w:bCs/>
                <w:sz w:val="12"/>
                <w:szCs w:val="12"/>
                <w:vertAlign w:val="superscript"/>
              </w:rPr>
              <w:t>5</w:t>
            </w:r>
            <w:r w:rsidRPr="00CA4A72">
              <w:rPr>
                <w:rFonts w:asciiTheme="minorHAnsi" w:hAnsiTheme="minorHAnsi" w:cstheme="minorHAnsi"/>
                <w:b/>
                <w:bCs/>
                <w:sz w:val="12"/>
                <w:szCs w:val="12"/>
                <w:vertAlign w:val="superscript"/>
              </w:rPr>
              <w:t>)</w:t>
            </w:r>
          </w:p>
        </w:tc>
        <w:tc>
          <w:tcPr>
            <w:tcW w:w="775" w:type="dxa"/>
            <w:tcBorders>
              <w:left w:val="single" w:sz="4" w:space="0" w:color="auto"/>
            </w:tcBorders>
            <w:shd w:val="clear" w:color="000000" w:fill="FFFFFF"/>
            <w:noWrap/>
            <w:vAlign w:val="center"/>
          </w:tcPr>
          <w:p w14:paraId="0ABF2197"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€ 0.32</w:t>
            </w:r>
          </w:p>
        </w:tc>
        <w:tc>
          <w:tcPr>
            <w:tcW w:w="992" w:type="dxa"/>
            <w:shd w:val="clear" w:color="000000" w:fill="FFFFFF"/>
            <w:noWrap/>
            <w:vAlign w:val="center"/>
          </w:tcPr>
          <w:p w14:paraId="617859F2"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€ 0.49</w:t>
            </w:r>
          </w:p>
        </w:tc>
        <w:tc>
          <w:tcPr>
            <w:tcW w:w="851" w:type="dxa"/>
            <w:tcBorders>
              <w:bottom w:val="single" w:sz="4" w:space="0" w:color="auto"/>
              <w:right w:val="single" w:sz="4" w:space="0" w:color="auto"/>
            </w:tcBorders>
            <w:shd w:val="clear" w:color="000000" w:fill="FFFFFF"/>
            <w:noWrap/>
            <w:vAlign w:val="center"/>
          </w:tcPr>
          <w:p w14:paraId="611F8CAD"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€ 0.80</w:t>
            </w:r>
          </w:p>
        </w:tc>
        <w:tc>
          <w:tcPr>
            <w:tcW w:w="900" w:type="dxa"/>
            <w:tcBorders>
              <w:left w:val="single" w:sz="4" w:space="0" w:color="auto"/>
            </w:tcBorders>
            <w:shd w:val="clear" w:color="000000" w:fill="FFFFFF"/>
            <w:noWrap/>
            <w:vAlign w:val="center"/>
          </w:tcPr>
          <w:p w14:paraId="1264BB0B"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€ 0.51</w:t>
            </w:r>
          </w:p>
        </w:tc>
        <w:tc>
          <w:tcPr>
            <w:tcW w:w="0" w:type="auto"/>
            <w:shd w:val="clear" w:color="000000" w:fill="FFFFFF"/>
            <w:noWrap/>
            <w:vAlign w:val="center"/>
          </w:tcPr>
          <w:p w14:paraId="3D684194"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€ 0.31</w:t>
            </w:r>
          </w:p>
        </w:tc>
        <w:tc>
          <w:tcPr>
            <w:tcW w:w="898" w:type="dxa"/>
            <w:tcBorders>
              <w:bottom w:val="single" w:sz="4" w:space="0" w:color="auto"/>
              <w:right w:val="single" w:sz="4" w:space="0" w:color="auto"/>
            </w:tcBorders>
            <w:shd w:val="clear" w:color="000000" w:fill="FFFFFF"/>
            <w:noWrap/>
            <w:vAlign w:val="center"/>
          </w:tcPr>
          <w:p w14:paraId="63A8A786"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€ 0.82</w:t>
            </w:r>
          </w:p>
        </w:tc>
        <w:tc>
          <w:tcPr>
            <w:tcW w:w="714" w:type="dxa"/>
            <w:tcBorders>
              <w:left w:val="single" w:sz="4" w:space="0" w:color="auto"/>
            </w:tcBorders>
            <w:shd w:val="clear" w:color="000000" w:fill="FFFFFF"/>
            <w:vAlign w:val="center"/>
          </w:tcPr>
          <w:p w14:paraId="582FBAF0"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(38)%</w:t>
            </w:r>
          </w:p>
        </w:tc>
        <w:tc>
          <w:tcPr>
            <w:tcW w:w="703" w:type="dxa"/>
            <w:shd w:val="clear" w:color="000000" w:fill="FFFFFF"/>
            <w:vAlign w:val="center"/>
          </w:tcPr>
          <w:p w14:paraId="3A235B4F"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(2)%</w:t>
            </w:r>
          </w:p>
        </w:tc>
      </w:tr>
    </w:tbl>
    <w:p w14:paraId="429DDDA2" w14:textId="77777777" w:rsidR="0044035E" w:rsidRPr="00D27EF3" w:rsidRDefault="0044035E" w:rsidP="0044035E">
      <w:pPr>
        <w:autoSpaceDE w:val="0"/>
        <w:autoSpaceDN w:val="0"/>
        <w:adjustRightInd w:val="0"/>
        <w:ind w:right="-113"/>
        <w:jc w:val="both"/>
        <w:rPr>
          <w:rFonts w:asciiTheme="minorHAnsi" w:eastAsia="Times New Roman" w:hAnsiTheme="minorHAnsi" w:cstheme="minorHAnsi"/>
          <w:sz w:val="14"/>
          <w:szCs w:val="14"/>
        </w:rPr>
      </w:pPr>
      <w:proofErr w:type="gramStart"/>
      <w:r w:rsidRPr="002C073C">
        <w:rPr>
          <w:rFonts w:asciiTheme="minorHAnsi" w:eastAsia="Times New Roman" w:hAnsiTheme="minorHAnsi" w:cstheme="minorHAnsi"/>
          <w:sz w:val="16"/>
          <w:szCs w:val="16"/>
          <w:vertAlign w:val="superscript"/>
        </w:rPr>
        <w:t>(</w:t>
      </w:r>
      <w:r w:rsidRPr="002C073C">
        <w:rPr>
          <w:rFonts w:asciiTheme="minorHAnsi" w:eastAsia="Times New Roman" w:hAnsiTheme="minorHAnsi" w:cstheme="minorHAnsi"/>
          <w:sz w:val="14"/>
          <w:szCs w:val="14"/>
          <w:vertAlign w:val="superscript"/>
        </w:rPr>
        <w:t>1)</w:t>
      </w:r>
      <w:r w:rsidRPr="00D27EF3">
        <w:rPr>
          <w:rFonts w:asciiTheme="minorHAnsi" w:eastAsia="Times New Roman" w:hAnsiTheme="minorHAnsi" w:cstheme="minorHAnsi"/>
          <w:sz w:val="14"/>
          <w:szCs w:val="14"/>
        </w:rPr>
        <w:t xml:space="preserve"> In the reconciliation schedule above, (</w:t>
      </w:r>
      <w:proofErr w:type="spellStart"/>
      <w:r w:rsidRPr="00D27EF3">
        <w:rPr>
          <w:rFonts w:asciiTheme="minorHAnsi" w:eastAsia="Times New Roman" w:hAnsiTheme="minorHAnsi" w:cstheme="minorHAnsi"/>
          <w:sz w:val="14"/>
          <w:szCs w:val="14"/>
        </w:rPr>
        <w:t>i</w:t>
      </w:r>
      <w:proofErr w:type="spellEnd"/>
      <w:r w:rsidRPr="00D27EF3">
        <w:rPr>
          <w:rFonts w:asciiTheme="minorHAnsi" w:eastAsia="Times New Roman" w:hAnsiTheme="minorHAnsi" w:cstheme="minorHAnsi"/>
          <w:sz w:val="14"/>
          <w:szCs w:val="14"/>
        </w:rPr>
        <w:t>) all adjustments to IFRS revenue data reflect the exclusion of the deferred revenue adjustment of acquired companies; (ii) adjustments to IFRS operating expense data reflect the exclusion of the amortization of acquired intangible assets and of tangible assets revaluation, share-based compensation expense and related social charges, and lease incentives of acquired companies, as detailed below, and other operating income and expense, net including impairment of goodwill and acquired intangible assets (iii) adjustments to IFRS financial revenue and other, net reflect the exclusion of certain one-time items included in financial revenue and other, net, and (iv) all adjustments to IFRS income data reflect the combined effect of these adjustments, plus with respect to net income and diluted net income per share, certain one-time tax effects and the income tax effect of the non-IFRS adjustments.</w:t>
      </w:r>
      <w:proofErr w:type="gramEnd"/>
      <w:r w:rsidRPr="00D27EF3">
        <w:rPr>
          <w:rFonts w:asciiTheme="minorHAnsi" w:eastAsia="Times New Roman" w:hAnsiTheme="minorHAnsi" w:cstheme="minorHAnsi"/>
          <w:sz w:val="14"/>
          <w:szCs w:val="14"/>
        </w:rPr>
        <w:t xml:space="preserve"> </w:t>
      </w:r>
    </w:p>
    <w:p w14:paraId="3D4C5E01" w14:textId="77777777" w:rsidR="0044035E" w:rsidRPr="00D27EF3" w:rsidRDefault="0044035E" w:rsidP="0044035E">
      <w:pPr>
        <w:autoSpaceDE w:val="0"/>
        <w:autoSpaceDN w:val="0"/>
        <w:adjustRightInd w:val="0"/>
        <w:ind w:right="-164"/>
        <w:jc w:val="both"/>
        <w:rPr>
          <w:rFonts w:asciiTheme="minorHAnsi" w:eastAsia="Times New Roman" w:hAnsiTheme="minorHAnsi" w:cstheme="minorHAnsi"/>
          <w:sz w:val="14"/>
          <w:szCs w:val="14"/>
        </w:rPr>
      </w:pPr>
    </w:p>
    <w:tbl>
      <w:tblPr>
        <w:tblW w:w="96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96"/>
        <w:gridCol w:w="709"/>
        <w:gridCol w:w="987"/>
        <w:gridCol w:w="851"/>
        <w:gridCol w:w="709"/>
        <w:gridCol w:w="713"/>
        <w:gridCol w:w="993"/>
        <w:gridCol w:w="850"/>
        <w:gridCol w:w="709"/>
        <w:gridCol w:w="704"/>
        <w:gridCol w:w="708"/>
      </w:tblGrid>
      <w:tr w:rsidR="0044035E" w:rsidRPr="00CA4A72" w14:paraId="06D991A4" w14:textId="77777777" w:rsidTr="006A1A41">
        <w:trPr>
          <w:trHeight w:val="227"/>
        </w:trPr>
        <w:tc>
          <w:tcPr>
            <w:tcW w:w="1696" w:type="dxa"/>
            <w:vMerge w:val="restart"/>
            <w:tcBorders>
              <w:top w:val="single" w:sz="4" w:space="0" w:color="auto"/>
              <w:bottom w:val="single" w:sz="4" w:space="0" w:color="auto"/>
              <w:right w:val="single" w:sz="4" w:space="0" w:color="auto"/>
            </w:tcBorders>
            <w:vAlign w:val="center"/>
          </w:tcPr>
          <w:p w14:paraId="35BF1126" w14:textId="77777777" w:rsidR="0044035E" w:rsidRPr="00CA4A72" w:rsidRDefault="0044035E" w:rsidP="006A1A41">
            <w:pPr>
              <w:spacing w:line="276" w:lineRule="auto"/>
              <w:jc w:val="center"/>
              <w:rPr>
                <w:rFonts w:asciiTheme="minorHAnsi" w:eastAsia="Times New Roman" w:hAnsiTheme="minorHAnsi" w:cstheme="minorHAnsi"/>
                <w:sz w:val="12"/>
                <w:szCs w:val="12"/>
                <w:lang w:eastAsia="en-GB"/>
              </w:rPr>
            </w:pPr>
            <w:r w:rsidRPr="00CA4A72">
              <w:rPr>
                <w:rFonts w:asciiTheme="minorHAnsi" w:eastAsia="Times New Roman" w:hAnsiTheme="minorHAnsi" w:cstheme="minorHAnsi"/>
                <w:sz w:val="12"/>
                <w:szCs w:val="12"/>
                <w:lang w:eastAsia="en-GB"/>
              </w:rPr>
              <w:t>In millions of Euros, except percentages</w:t>
            </w:r>
          </w:p>
        </w:tc>
        <w:tc>
          <w:tcPr>
            <w:tcW w:w="6521" w:type="dxa"/>
            <w:gridSpan w:val="8"/>
            <w:tcBorders>
              <w:top w:val="single" w:sz="4" w:space="0" w:color="auto"/>
              <w:left w:val="single" w:sz="4" w:space="0" w:color="auto"/>
              <w:bottom w:val="single" w:sz="4" w:space="0" w:color="auto"/>
              <w:right w:val="single" w:sz="4" w:space="0" w:color="auto"/>
            </w:tcBorders>
            <w:vAlign w:val="center"/>
          </w:tcPr>
          <w:p w14:paraId="7E01AEE6" w14:textId="77777777" w:rsidR="0044035E" w:rsidRPr="00CA4A72" w:rsidRDefault="0044035E" w:rsidP="006A1A41">
            <w:pPr>
              <w:spacing w:line="276" w:lineRule="auto"/>
              <w:jc w:val="center"/>
              <w:rPr>
                <w:rFonts w:asciiTheme="minorHAnsi" w:eastAsia="Times New Roman" w:hAnsiTheme="minorHAnsi" w:cstheme="minorHAnsi"/>
                <w:b/>
                <w:sz w:val="12"/>
                <w:szCs w:val="12"/>
                <w:highlight w:val="green"/>
                <w:lang w:eastAsia="en-GB"/>
              </w:rPr>
            </w:pPr>
            <w:r w:rsidRPr="00F30606">
              <w:rPr>
                <w:rFonts w:asciiTheme="minorHAnsi" w:eastAsia="Times New Roman" w:hAnsiTheme="minorHAnsi" w:cstheme="minorHAnsi"/>
                <w:b/>
                <w:bCs/>
                <w:sz w:val="12"/>
                <w:szCs w:val="12"/>
                <w:lang w:eastAsia="en-GB"/>
              </w:rPr>
              <w:t>Three months ended June</w:t>
            </w:r>
            <w:r>
              <w:rPr>
                <w:rFonts w:asciiTheme="minorHAnsi" w:eastAsia="Times New Roman" w:hAnsiTheme="minorHAnsi" w:cstheme="minorHAnsi"/>
                <w:b/>
                <w:bCs/>
                <w:sz w:val="12"/>
                <w:szCs w:val="12"/>
                <w:lang w:eastAsia="en-GB"/>
              </w:rPr>
              <w:t xml:space="preserve"> 30</w:t>
            </w:r>
            <w:r w:rsidRPr="00CA4A72">
              <w:rPr>
                <w:rFonts w:asciiTheme="minorHAnsi" w:eastAsia="Times New Roman" w:hAnsiTheme="minorHAnsi" w:cstheme="minorHAnsi"/>
                <w:b/>
                <w:bCs/>
                <w:sz w:val="12"/>
                <w:szCs w:val="12"/>
                <w:lang w:eastAsia="en-GB"/>
              </w:rPr>
              <w:t>,</w:t>
            </w:r>
          </w:p>
        </w:tc>
        <w:tc>
          <w:tcPr>
            <w:tcW w:w="1412" w:type="dxa"/>
            <w:gridSpan w:val="2"/>
            <w:tcBorders>
              <w:top w:val="single" w:sz="4" w:space="0" w:color="auto"/>
              <w:left w:val="single" w:sz="4" w:space="0" w:color="auto"/>
              <w:bottom w:val="single" w:sz="4" w:space="0" w:color="auto"/>
            </w:tcBorders>
            <w:vAlign w:val="center"/>
          </w:tcPr>
          <w:p w14:paraId="219FB46E" w14:textId="77777777" w:rsidR="0044035E" w:rsidRPr="00CA4A72" w:rsidRDefault="0044035E" w:rsidP="006A1A41">
            <w:pPr>
              <w:spacing w:line="276" w:lineRule="auto"/>
              <w:jc w:val="center"/>
              <w:rPr>
                <w:rFonts w:asciiTheme="minorHAnsi" w:eastAsia="Times New Roman" w:hAnsiTheme="minorHAnsi" w:cstheme="minorHAnsi"/>
                <w:b/>
                <w:sz w:val="12"/>
                <w:szCs w:val="12"/>
                <w:lang w:eastAsia="en-GB"/>
              </w:rPr>
            </w:pPr>
            <w:r w:rsidRPr="00CA4A72">
              <w:rPr>
                <w:rFonts w:asciiTheme="minorHAnsi" w:eastAsia="Times New Roman" w:hAnsiTheme="minorHAnsi" w:cstheme="minorHAnsi"/>
                <w:b/>
                <w:sz w:val="12"/>
                <w:szCs w:val="12"/>
                <w:lang w:eastAsia="en-GB"/>
              </w:rPr>
              <w:t>Change</w:t>
            </w:r>
          </w:p>
        </w:tc>
      </w:tr>
      <w:tr w:rsidR="0044035E" w:rsidRPr="00CA4A72" w14:paraId="725F7AA2" w14:textId="77777777" w:rsidTr="006A1A41">
        <w:trPr>
          <w:trHeight w:val="842"/>
        </w:trPr>
        <w:tc>
          <w:tcPr>
            <w:tcW w:w="1696" w:type="dxa"/>
            <w:vMerge/>
            <w:tcBorders>
              <w:top w:val="nil"/>
              <w:bottom w:val="single" w:sz="4" w:space="0" w:color="auto"/>
              <w:right w:val="single" w:sz="4" w:space="0" w:color="auto"/>
            </w:tcBorders>
            <w:vAlign w:val="center"/>
          </w:tcPr>
          <w:p w14:paraId="63B50476"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p>
        </w:tc>
        <w:tc>
          <w:tcPr>
            <w:tcW w:w="709" w:type="dxa"/>
            <w:tcBorders>
              <w:top w:val="single" w:sz="4" w:space="0" w:color="auto"/>
              <w:left w:val="single" w:sz="4" w:space="0" w:color="auto"/>
              <w:bottom w:val="single" w:sz="4" w:space="0" w:color="auto"/>
            </w:tcBorders>
            <w:vAlign w:val="center"/>
          </w:tcPr>
          <w:p w14:paraId="32791270" w14:textId="77777777" w:rsidR="0044035E" w:rsidRPr="00CA4A72" w:rsidRDefault="0044035E" w:rsidP="006A1A41">
            <w:pPr>
              <w:spacing w:line="276" w:lineRule="auto"/>
              <w:jc w:val="center"/>
              <w:rPr>
                <w:rFonts w:asciiTheme="minorHAnsi" w:eastAsia="Times New Roman" w:hAnsiTheme="minorHAnsi" w:cstheme="minorHAnsi"/>
                <w:b/>
                <w:sz w:val="12"/>
                <w:szCs w:val="12"/>
                <w:lang w:eastAsia="en-GB"/>
              </w:rPr>
            </w:pPr>
            <w:r w:rsidRPr="00CA4A72">
              <w:rPr>
                <w:rFonts w:asciiTheme="minorHAnsi" w:eastAsia="Times New Roman" w:hAnsiTheme="minorHAnsi" w:cstheme="minorHAnsi"/>
                <w:b/>
                <w:sz w:val="12"/>
                <w:szCs w:val="12"/>
                <w:lang w:eastAsia="en-GB"/>
              </w:rPr>
              <w:t>2020</w:t>
            </w:r>
          </w:p>
          <w:p w14:paraId="69C517EB" w14:textId="77777777" w:rsidR="0044035E" w:rsidRPr="00CA4A72" w:rsidRDefault="0044035E" w:rsidP="006A1A41">
            <w:pPr>
              <w:spacing w:line="276" w:lineRule="auto"/>
              <w:jc w:val="center"/>
              <w:rPr>
                <w:rFonts w:asciiTheme="minorHAnsi" w:eastAsia="Times New Roman" w:hAnsiTheme="minorHAnsi" w:cstheme="minorHAnsi"/>
                <w:b/>
                <w:sz w:val="12"/>
                <w:szCs w:val="12"/>
                <w:lang w:eastAsia="en-GB"/>
              </w:rPr>
            </w:pPr>
            <w:r w:rsidRPr="00CA4A72">
              <w:rPr>
                <w:rFonts w:asciiTheme="minorHAnsi" w:eastAsia="Times New Roman" w:hAnsiTheme="minorHAnsi" w:cstheme="minorHAnsi"/>
                <w:b/>
                <w:sz w:val="12"/>
                <w:szCs w:val="12"/>
                <w:lang w:eastAsia="en-GB"/>
              </w:rPr>
              <w:t>IFRS</w:t>
            </w:r>
          </w:p>
        </w:tc>
        <w:tc>
          <w:tcPr>
            <w:tcW w:w="987" w:type="dxa"/>
            <w:tcBorders>
              <w:top w:val="single" w:sz="4" w:space="0" w:color="auto"/>
              <w:bottom w:val="single" w:sz="4" w:space="0" w:color="auto"/>
            </w:tcBorders>
          </w:tcPr>
          <w:p w14:paraId="49338C47" w14:textId="77777777" w:rsidR="0044035E" w:rsidRPr="00CA4A72" w:rsidRDefault="0044035E" w:rsidP="006A1A41">
            <w:pPr>
              <w:spacing w:line="276" w:lineRule="auto"/>
              <w:jc w:val="center"/>
              <w:rPr>
                <w:rFonts w:asciiTheme="minorHAnsi" w:eastAsia="Times New Roman" w:hAnsiTheme="minorHAnsi" w:cstheme="minorHAnsi"/>
                <w:b/>
                <w:sz w:val="12"/>
                <w:szCs w:val="12"/>
                <w:lang w:eastAsia="en-GB"/>
              </w:rPr>
            </w:pPr>
            <w:r w:rsidRPr="00CA4A72">
              <w:rPr>
                <w:rFonts w:asciiTheme="minorHAnsi" w:eastAsia="Times New Roman" w:hAnsiTheme="minorHAnsi" w:cstheme="minorHAnsi"/>
                <w:b/>
                <w:sz w:val="12"/>
                <w:szCs w:val="12"/>
                <w:lang w:eastAsia="en-GB"/>
              </w:rPr>
              <w:t>Share-based compensation expense and related social charges</w:t>
            </w:r>
          </w:p>
        </w:tc>
        <w:tc>
          <w:tcPr>
            <w:tcW w:w="851" w:type="dxa"/>
            <w:tcBorders>
              <w:top w:val="single" w:sz="4" w:space="0" w:color="auto"/>
              <w:bottom w:val="single" w:sz="4" w:space="0" w:color="auto"/>
            </w:tcBorders>
            <w:vAlign w:val="center"/>
          </w:tcPr>
          <w:p w14:paraId="59996DF0" w14:textId="77777777" w:rsidR="0044035E" w:rsidRPr="00CA4A72" w:rsidRDefault="0044035E" w:rsidP="006A1A41">
            <w:pPr>
              <w:spacing w:line="276" w:lineRule="auto"/>
              <w:jc w:val="center"/>
              <w:rPr>
                <w:rFonts w:asciiTheme="minorHAnsi" w:eastAsia="Times New Roman" w:hAnsiTheme="minorHAnsi" w:cstheme="minorHAnsi"/>
                <w:b/>
                <w:sz w:val="12"/>
                <w:szCs w:val="12"/>
                <w:lang w:eastAsia="en-GB"/>
              </w:rPr>
            </w:pPr>
            <w:r w:rsidRPr="00CA4A72">
              <w:rPr>
                <w:rFonts w:asciiTheme="minorHAnsi" w:eastAsia="Times New Roman" w:hAnsiTheme="minorHAnsi" w:cstheme="minorHAnsi"/>
                <w:b/>
                <w:sz w:val="12"/>
                <w:szCs w:val="12"/>
                <w:lang w:eastAsia="en-GB"/>
              </w:rPr>
              <w:t>Lease incentives of acquired companies</w:t>
            </w:r>
          </w:p>
        </w:tc>
        <w:tc>
          <w:tcPr>
            <w:tcW w:w="709" w:type="dxa"/>
            <w:tcBorders>
              <w:top w:val="single" w:sz="4" w:space="0" w:color="auto"/>
              <w:bottom w:val="single" w:sz="4" w:space="0" w:color="auto"/>
              <w:right w:val="single" w:sz="4" w:space="0" w:color="auto"/>
            </w:tcBorders>
            <w:vAlign w:val="center"/>
          </w:tcPr>
          <w:p w14:paraId="6E1B6A79" w14:textId="77777777" w:rsidR="0044035E" w:rsidRPr="00CA4A72" w:rsidRDefault="0044035E" w:rsidP="006A1A41">
            <w:pPr>
              <w:spacing w:line="276" w:lineRule="auto"/>
              <w:jc w:val="center"/>
              <w:rPr>
                <w:rFonts w:asciiTheme="minorHAnsi" w:eastAsia="Times New Roman" w:hAnsiTheme="minorHAnsi" w:cstheme="minorHAnsi"/>
                <w:b/>
                <w:sz w:val="12"/>
                <w:szCs w:val="12"/>
                <w:lang w:eastAsia="en-GB"/>
              </w:rPr>
            </w:pPr>
            <w:r w:rsidRPr="00CA4A72">
              <w:rPr>
                <w:rFonts w:asciiTheme="minorHAnsi" w:eastAsia="Times New Roman" w:hAnsiTheme="minorHAnsi" w:cstheme="minorHAnsi"/>
                <w:b/>
                <w:sz w:val="12"/>
                <w:szCs w:val="12"/>
                <w:lang w:eastAsia="en-GB"/>
              </w:rPr>
              <w:t>2020</w:t>
            </w:r>
          </w:p>
          <w:p w14:paraId="2CD09F71" w14:textId="77777777" w:rsidR="0044035E" w:rsidRPr="00CA4A72" w:rsidRDefault="0044035E" w:rsidP="006A1A41">
            <w:pPr>
              <w:spacing w:line="276" w:lineRule="auto"/>
              <w:jc w:val="center"/>
              <w:rPr>
                <w:rFonts w:asciiTheme="minorHAnsi" w:eastAsia="Times New Roman" w:hAnsiTheme="minorHAnsi" w:cstheme="minorHAnsi"/>
                <w:b/>
                <w:sz w:val="12"/>
                <w:szCs w:val="12"/>
                <w:lang w:eastAsia="en-GB"/>
              </w:rPr>
            </w:pPr>
            <w:r w:rsidRPr="00CA4A72">
              <w:rPr>
                <w:rFonts w:asciiTheme="minorHAnsi" w:eastAsia="Times New Roman" w:hAnsiTheme="minorHAnsi" w:cstheme="minorHAnsi"/>
                <w:b/>
                <w:sz w:val="12"/>
                <w:szCs w:val="12"/>
                <w:lang w:eastAsia="en-GB"/>
              </w:rPr>
              <w:t>Non-IFRS</w:t>
            </w:r>
          </w:p>
        </w:tc>
        <w:tc>
          <w:tcPr>
            <w:tcW w:w="713" w:type="dxa"/>
            <w:tcBorders>
              <w:top w:val="single" w:sz="4" w:space="0" w:color="auto"/>
              <w:left w:val="single" w:sz="4" w:space="0" w:color="auto"/>
              <w:bottom w:val="single" w:sz="4" w:space="0" w:color="auto"/>
            </w:tcBorders>
            <w:vAlign w:val="center"/>
          </w:tcPr>
          <w:p w14:paraId="5A8172B6" w14:textId="77777777" w:rsidR="0044035E" w:rsidRPr="00CA4A72" w:rsidRDefault="0044035E" w:rsidP="006A1A41">
            <w:pPr>
              <w:spacing w:line="276" w:lineRule="auto"/>
              <w:jc w:val="center"/>
              <w:rPr>
                <w:rFonts w:asciiTheme="minorHAnsi" w:eastAsia="Times New Roman" w:hAnsiTheme="minorHAnsi" w:cstheme="minorHAnsi"/>
                <w:b/>
                <w:sz w:val="12"/>
                <w:szCs w:val="12"/>
                <w:lang w:eastAsia="en-GB"/>
              </w:rPr>
            </w:pPr>
            <w:r w:rsidRPr="00CA4A72">
              <w:rPr>
                <w:rFonts w:asciiTheme="minorHAnsi" w:eastAsia="Times New Roman" w:hAnsiTheme="minorHAnsi" w:cstheme="minorHAnsi"/>
                <w:b/>
                <w:sz w:val="12"/>
                <w:szCs w:val="12"/>
                <w:lang w:eastAsia="en-GB"/>
              </w:rPr>
              <w:t>2019</w:t>
            </w:r>
          </w:p>
          <w:p w14:paraId="331AA6F4" w14:textId="77777777" w:rsidR="0044035E" w:rsidRPr="00CA4A72" w:rsidRDefault="0044035E" w:rsidP="006A1A41">
            <w:pPr>
              <w:spacing w:line="276" w:lineRule="auto"/>
              <w:jc w:val="center"/>
              <w:rPr>
                <w:rFonts w:asciiTheme="minorHAnsi" w:eastAsia="Times New Roman" w:hAnsiTheme="minorHAnsi" w:cstheme="minorHAnsi"/>
                <w:b/>
                <w:sz w:val="12"/>
                <w:szCs w:val="12"/>
                <w:lang w:eastAsia="en-GB"/>
              </w:rPr>
            </w:pPr>
            <w:r w:rsidRPr="00CA4A72">
              <w:rPr>
                <w:rFonts w:asciiTheme="minorHAnsi" w:eastAsia="Times New Roman" w:hAnsiTheme="minorHAnsi" w:cstheme="minorHAnsi"/>
                <w:b/>
                <w:sz w:val="12"/>
                <w:szCs w:val="12"/>
                <w:lang w:eastAsia="en-GB"/>
              </w:rPr>
              <w:t>IFRS</w:t>
            </w:r>
          </w:p>
        </w:tc>
        <w:tc>
          <w:tcPr>
            <w:tcW w:w="993" w:type="dxa"/>
            <w:tcBorders>
              <w:top w:val="single" w:sz="4" w:space="0" w:color="auto"/>
              <w:bottom w:val="single" w:sz="4" w:space="0" w:color="auto"/>
            </w:tcBorders>
          </w:tcPr>
          <w:p w14:paraId="2083BBA1" w14:textId="77777777" w:rsidR="0044035E" w:rsidRPr="00CA4A72" w:rsidRDefault="0044035E" w:rsidP="006A1A41">
            <w:pPr>
              <w:spacing w:line="276" w:lineRule="auto"/>
              <w:jc w:val="center"/>
              <w:rPr>
                <w:rFonts w:asciiTheme="minorHAnsi" w:eastAsia="Times New Roman" w:hAnsiTheme="minorHAnsi" w:cstheme="minorHAnsi"/>
                <w:b/>
                <w:sz w:val="12"/>
                <w:szCs w:val="12"/>
                <w:lang w:eastAsia="en-GB"/>
              </w:rPr>
            </w:pPr>
            <w:r w:rsidRPr="00CA4A72">
              <w:rPr>
                <w:rFonts w:asciiTheme="minorHAnsi" w:eastAsia="Times New Roman" w:hAnsiTheme="minorHAnsi" w:cstheme="minorHAnsi"/>
                <w:b/>
                <w:sz w:val="12"/>
                <w:szCs w:val="12"/>
                <w:lang w:eastAsia="en-GB"/>
              </w:rPr>
              <w:t>Share-based compensation expense and related social charges</w:t>
            </w:r>
          </w:p>
        </w:tc>
        <w:tc>
          <w:tcPr>
            <w:tcW w:w="850" w:type="dxa"/>
            <w:tcBorders>
              <w:top w:val="single" w:sz="4" w:space="0" w:color="auto"/>
              <w:bottom w:val="single" w:sz="4" w:space="0" w:color="auto"/>
            </w:tcBorders>
            <w:vAlign w:val="center"/>
          </w:tcPr>
          <w:p w14:paraId="78C1D2EC" w14:textId="77777777" w:rsidR="0044035E" w:rsidRPr="00CA4A72" w:rsidRDefault="0044035E" w:rsidP="006A1A41">
            <w:pPr>
              <w:spacing w:line="276" w:lineRule="auto"/>
              <w:jc w:val="center"/>
              <w:rPr>
                <w:rFonts w:asciiTheme="minorHAnsi" w:eastAsia="Times New Roman" w:hAnsiTheme="minorHAnsi" w:cstheme="minorHAnsi"/>
                <w:b/>
                <w:sz w:val="12"/>
                <w:szCs w:val="12"/>
                <w:lang w:eastAsia="en-GB"/>
              </w:rPr>
            </w:pPr>
            <w:r w:rsidRPr="00CA4A72">
              <w:rPr>
                <w:rFonts w:asciiTheme="minorHAnsi" w:eastAsia="Times New Roman" w:hAnsiTheme="minorHAnsi" w:cstheme="minorHAnsi"/>
                <w:b/>
                <w:sz w:val="12"/>
                <w:szCs w:val="12"/>
                <w:lang w:eastAsia="en-GB"/>
              </w:rPr>
              <w:t>Lease incentives of acquired companies</w:t>
            </w:r>
          </w:p>
        </w:tc>
        <w:tc>
          <w:tcPr>
            <w:tcW w:w="709" w:type="dxa"/>
            <w:tcBorders>
              <w:top w:val="single" w:sz="4" w:space="0" w:color="auto"/>
              <w:bottom w:val="single" w:sz="4" w:space="0" w:color="auto"/>
              <w:right w:val="single" w:sz="4" w:space="0" w:color="auto"/>
            </w:tcBorders>
            <w:vAlign w:val="center"/>
          </w:tcPr>
          <w:p w14:paraId="3EC593DB" w14:textId="77777777" w:rsidR="0044035E" w:rsidRPr="00CA4A72" w:rsidRDefault="0044035E" w:rsidP="006A1A41">
            <w:pPr>
              <w:spacing w:line="276" w:lineRule="auto"/>
              <w:jc w:val="center"/>
              <w:rPr>
                <w:rFonts w:asciiTheme="minorHAnsi" w:eastAsia="Times New Roman" w:hAnsiTheme="minorHAnsi" w:cstheme="minorHAnsi"/>
                <w:b/>
                <w:sz w:val="12"/>
                <w:szCs w:val="12"/>
                <w:lang w:eastAsia="en-GB"/>
              </w:rPr>
            </w:pPr>
            <w:r w:rsidRPr="00CA4A72">
              <w:rPr>
                <w:rFonts w:asciiTheme="minorHAnsi" w:eastAsia="Times New Roman" w:hAnsiTheme="minorHAnsi" w:cstheme="minorHAnsi"/>
                <w:b/>
                <w:sz w:val="12"/>
                <w:szCs w:val="12"/>
                <w:lang w:eastAsia="en-GB"/>
              </w:rPr>
              <w:t>2019</w:t>
            </w:r>
          </w:p>
          <w:p w14:paraId="3CC61698" w14:textId="77777777" w:rsidR="0044035E" w:rsidRPr="00CA4A72" w:rsidRDefault="0044035E" w:rsidP="006A1A41">
            <w:pPr>
              <w:spacing w:line="276" w:lineRule="auto"/>
              <w:jc w:val="center"/>
              <w:rPr>
                <w:rFonts w:asciiTheme="minorHAnsi" w:eastAsia="Times New Roman" w:hAnsiTheme="minorHAnsi" w:cstheme="minorHAnsi"/>
                <w:b/>
                <w:sz w:val="12"/>
                <w:szCs w:val="12"/>
                <w:lang w:eastAsia="en-GB"/>
              </w:rPr>
            </w:pPr>
            <w:r w:rsidRPr="00CA4A72">
              <w:rPr>
                <w:rFonts w:asciiTheme="minorHAnsi" w:eastAsia="Times New Roman" w:hAnsiTheme="minorHAnsi" w:cstheme="minorHAnsi"/>
                <w:b/>
                <w:sz w:val="12"/>
                <w:szCs w:val="12"/>
                <w:lang w:eastAsia="en-GB"/>
              </w:rPr>
              <w:t>Non-IFRS</w:t>
            </w:r>
          </w:p>
        </w:tc>
        <w:tc>
          <w:tcPr>
            <w:tcW w:w="704" w:type="dxa"/>
            <w:tcBorders>
              <w:top w:val="single" w:sz="4" w:space="0" w:color="auto"/>
              <w:left w:val="single" w:sz="4" w:space="0" w:color="auto"/>
              <w:bottom w:val="single" w:sz="4" w:space="0" w:color="auto"/>
            </w:tcBorders>
            <w:vAlign w:val="center"/>
          </w:tcPr>
          <w:p w14:paraId="165D9D7D" w14:textId="77777777" w:rsidR="0044035E" w:rsidRPr="00CA4A72" w:rsidRDefault="0044035E" w:rsidP="006A1A41">
            <w:pPr>
              <w:spacing w:line="276" w:lineRule="auto"/>
              <w:jc w:val="center"/>
              <w:rPr>
                <w:rFonts w:asciiTheme="minorHAnsi" w:eastAsia="Times New Roman" w:hAnsiTheme="minorHAnsi" w:cstheme="minorHAnsi"/>
                <w:b/>
                <w:sz w:val="12"/>
                <w:szCs w:val="12"/>
                <w:lang w:eastAsia="en-GB"/>
              </w:rPr>
            </w:pPr>
            <w:r w:rsidRPr="00CA4A72">
              <w:rPr>
                <w:rFonts w:asciiTheme="minorHAnsi" w:eastAsia="Times New Roman" w:hAnsiTheme="minorHAnsi" w:cstheme="minorHAnsi"/>
                <w:b/>
                <w:sz w:val="12"/>
                <w:szCs w:val="12"/>
                <w:lang w:eastAsia="en-GB"/>
              </w:rPr>
              <w:t>IFRS</w:t>
            </w:r>
          </w:p>
        </w:tc>
        <w:tc>
          <w:tcPr>
            <w:tcW w:w="708" w:type="dxa"/>
            <w:tcBorders>
              <w:top w:val="single" w:sz="4" w:space="0" w:color="auto"/>
              <w:bottom w:val="single" w:sz="4" w:space="0" w:color="auto"/>
            </w:tcBorders>
            <w:vAlign w:val="center"/>
          </w:tcPr>
          <w:p w14:paraId="206F76D7" w14:textId="77777777" w:rsidR="0044035E" w:rsidRDefault="0044035E" w:rsidP="006A1A41">
            <w:pPr>
              <w:spacing w:line="276" w:lineRule="auto"/>
              <w:jc w:val="center"/>
              <w:rPr>
                <w:rFonts w:asciiTheme="minorHAnsi" w:eastAsia="Times New Roman" w:hAnsiTheme="minorHAnsi" w:cstheme="minorHAnsi"/>
                <w:b/>
                <w:sz w:val="12"/>
                <w:szCs w:val="12"/>
                <w:lang w:eastAsia="en-GB"/>
              </w:rPr>
            </w:pPr>
            <w:r w:rsidRPr="00CA4A72">
              <w:rPr>
                <w:rFonts w:asciiTheme="minorHAnsi" w:eastAsia="Times New Roman" w:hAnsiTheme="minorHAnsi" w:cstheme="minorHAnsi"/>
                <w:b/>
                <w:sz w:val="12"/>
                <w:szCs w:val="12"/>
                <w:lang w:eastAsia="en-GB"/>
              </w:rPr>
              <w:t>Non-</w:t>
            </w:r>
          </w:p>
          <w:p w14:paraId="6F2ED2F2" w14:textId="77777777" w:rsidR="0044035E" w:rsidRPr="00CA4A72" w:rsidRDefault="0044035E" w:rsidP="006A1A41">
            <w:pPr>
              <w:spacing w:line="276" w:lineRule="auto"/>
              <w:jc w:val="center"/>
              <w:rPr>
                <w:rFonts w:asciiTheme="minorHAnsi" w:eastAsia="Times New Roman" w:hAnsiTheme="minorHAnsi" w:cstheme="minorHAnsi"/>
                <w:b/>
                <w:sz w:val="12"/>
                <w:szCs w:val="12"/>
                <w:lang w:eastAsia="en-GB"/>
              </w:rPr>
            </w:pPr>
            <w:r w:rsidRPr="00CA4A72">
              <w:rPr>
                <w:rFonts w:asciiTheme="minorHAnsi" w:eastAsia="Times New Roman" w:hAnsiTheme="minorHAnsi" w:cstheme="minorHAnsi"/>
                <w:b/>
                <w:sz w:val="12"/>
                <w:szCs w:val="12"/>
                <w:lang w:eastAsia="en-GB"/>
              </w:rPr>
              <w:t>IFRS</w:t>
            </w:r>
          </w:p>
        </w:tc>
      </w:tr>
      <w:tr w:rsidR="0044035E" w:rsidRPr="00CA4A72" w14:paraId="581C4E50" w14:textId="77777777" w:rsidTr="006A1A41">
        <w:trPr>
          <w:trHeight w:val="170"/>
        </w:trPr>
        <w:tc>
          <w:tcPr>
            <w:tcW w:w="1696" w:type="dxa"/>
            <w:tcBorders>
              <w:top w:val="single" w:sz="4" w:space="0" w:color="auto"/>
              <w:bottom w:val="nil"/>
              <w:right w:val="single" w:sz="4" w:space="0" w:color="auto"/>
            </w:tcBorders>
            <w:vAlign w:val="center"/>
            <w:hideMark/>
          </w:tcPr>
          <w:p w14:paraId="53F08845"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Cost of revenue</w:t>
            </w:r>
          </w:p>
        </w:tc>
        <w:tc>
          <w:tcPr>
            <w:tcW w:w="709" w:type="dxa"/>
            <w:tcBorders>
              <w:top w:val="single" w:sz="4" w:space="0" w:color="auto"/>
              <w:left w:val="single" w:sz="4" w:space="0" w:color="auto"/>
            </w:tcBorders>
            <w:shd w:val="clear" w:color="000000" w:fill="FFFFFF"/>
            <w:vAlign w:val="center"/>
          </w:tcPr>
          <w:p w14:paraId="4DA89CCD"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(184.3)</w:t>
            </w:r>
          </w:p>
        </w:tc>
        <w:tc>
          <w:tcPr>
            <w:tcW w:w="987" w:type="dxa"/>
            <w:tcBorders>
              <w:top w:val="single" w:sz="4" w:space="0" w:color="auto"/>
            </w:tcBorders>
            <w:shd w:val="clear" w:color="000000" w:fill="FFFFFF"/>
            <w:vAlign w:val="center"/>
          </w:tcPr>
          <w:p w14:paraId="5894473A"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2.1</w:t>
            </w:r>
          </w:p>
        </w:tc>
        <w:tc>
          <w:tcPr>
            <w:tcW w:w="851" w:type="dxa"/>
            <w:tcBorders>
              <w:top w:val="single" w:sz="4" w:space="0" w:color="auto"/>
            </w:tcBorders>
            <w:shd w:val="clear" w:color="000000" w:fill="FFFFFF"/>
            <w:vAlign w:val="center"/>
          </w:tcPr>
          <w:p w14:paraId="4B7D6558"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0.2</w:t>
            </w:r>
          </w:p>
        </w:tc>
        <w:tc>
          <w:tcPr>
            <w:tcW w:w="709" w:type="dxa"/>
            <w:tcBorders>
              <w:top w:val="single" w:sz="4" w:space="0" w:color="auto"/>
              <w:right w:val="single" w:sz="4" w:space="0" w:color="auto"/>
            </w:tcBorders>
            <w:shd w:val="clear" w:color="000000" w:fill="FFFFFF"/>
            <w:vAlign w:val="center"/>
          </w:tcPr>
          <w:p w14:paraId="24A5C2AD"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(182.0)</w:t>
            </w:r>
          </w:p>
        </w:tc>
        <w:tc>
          <w:tcPr>
            <w:tcW w:w="713" w:type="dxa"/>
            <w:tcBorders>
              <w:top w:val="single" w:sz="4" w:space="0" w:color="auto"/>
              <w:left w:val="single" w:sz="4" w:space="0" w:color="auto"/>
            </w:tcBorders>
            <w:shd w:val="clear" w:color="000000" w:fill="FFFFFF"/>
            <w:vAlign w:val="center"/>
          </w:tcPr>
          <w:p w14:paraId="062A3B4C"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(150.4)</w:t>
            </w:r>
          </w:p>
        </w:tc>
        <w:tc>
          <w:tcPr>
            <w:tcW w:w="993" w:type="dxa"/>
            <w:tcBorders>
              <w:top w:val="single" w:sz="4" w:space="0" w:color="auto"/>
            </w:tcBorders>
            <w:shd w:val="clear" w:color="000000" w:fill="FFFFFF"/>
            <w:vAlign w:val="center"/>
          </w:tcPr>
          <w:p w14:paraId="1D317AEC" w14:textId="77777777" w:rsidR="0044035E" w:rsidRPr="00A455FD" w:rsidRDefault="0044035E" w:rsidP="006A1A41">
            <w:pPr>
              <w:spacing w:line="276" w:lineRule="auto"/>
              <w:jc w:val="center"/>
              <w:rPr>
                <w:rFonts w:asciiTheme="minorHAnsi" w:hAnsiTheme="minorHAnsi" w:cstheme="minorHAnsi"/>
                <w:sz w:val="12"/>
                <w:szCs w:val="12"/>
              </w:rPr>
            </w:pPr>
            <w:r w:rsidRPr="00A455FD">
              <w:rPr>
                <w:rFonts w:asciiTheme="minorHAnsi" w:hAnsiTheme="minorHAnsi" w:cstheme="minorHAnsi"/>
                <w:color w:val="000000"/>
                <w:sz w:val="12"/>
                <w:szCs w:val="12"/>
              </w:rPr>
              <w:t>1.5</w:t>
            </w:r>
          </w:p>
        </w:tc>
        <w:tc>
          <w:tcPr>
            <w:tcW w:w="850" w:type="dxa"/>
            <w:tcBorders>
              <w:top w:val="single" w:sz="4" w:space="0" w:color="auto"/>
            </w:tcBorders>
            <w:shd w:val="clear" w:color="000000" w:fill="FFFFFF"/>
            <w:vAlign w:val="center"/>
          </w:tcPr>
          <w:p w14:paraId="0E457EF0"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w:t>
            </w:r>
          </w:p>
        </w:tc>
        <w:tc>
          <w:tcPr>
            <w:tcW w:w="709" w:type="dxa"/>
            <w:tcBorders>
              <w:top w:val="single" w:sz="4" w:space="0" w:color="auto"/>
              <w:right w:val="single" w:sz="4" w:space="0" w:color="auto"/>
            </w:tcBorders>
            <w:shd w:val="clear" w:color="000000" w:fill="FFFFFF"/>
            <w:vAlign w:val="center"/>
          </w:tcPr>
          <w:p w14:paraId="1B237071"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(148.8)</w:t>
            </w:r>
          </w:p>
        </w:tc>
        <w:tc>
          <w:tcPr>
            <w:tcW w:w="704" w:type="dxa"/>
            <w:tcBorders>
              <w:top w:val="single" w:sz="4" w:space="0" w:color="auto"/>
              <w:left w:val="single" w:sz="4" w:space="0" w:color="auto"/>
            </w:tcBorders>
            <w:shd w:val="clear" w:color="000000" w:fill="FFFFFF"/>
            <w:vAlign w:val="center"/>
          </w:tcPr>
          <w:p w14:paraId="399D5BD1"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23%</w:t>
            </w:r>
          </w:p>
        </w:tc>
        <w:tc>
          <w:tcPr>
            <w:tcW w:w="708" w:type="dxa"/>
            <w:tcBorders>
              <w:top w:val="single" w:sz="4" w:space="0" w:color="auto"/>
            </w:tcBorders>
            <w:shd w:val="clear" w:color="000000" w:fill="FFFFFF"/>
            <w:vAlign w:val="center"/>
          </w:tcPr>
          <w:p w14:paraId="64D846AD"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22%</w:t>
            </w:r>
          </w:p>
        </w:tc>
      </w:tr>
      <w:tr w:rsidR="0044035E" w:rsidRPr="00CA4A72" w14:paraId="486157D3" w14:textId="77777777" w:rsidTr="006A1A41">
        <w:trPr>
          <w:trHeight w:val="170"/>
        </w:trPr>
        <w:tc>
          <w:tcPr>
            <w:tcW w:w="1696" w:type="dxa"/>
            <w:tcBorders>
              <w:top w:val="nil"/>
              <w:bottom w:val="nil"/>
              <w:right w:val="single" w:sz="4" w:space="0" w:color="auto"/>
            </w:tcBorders>
            <w:vAlign w:val="center"/>
            <w:hideMark/>
          </w:tcPr>
          <w:p w14:paraId="50F52961"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Research and development</w:t>
            </w:r>
          </w:p>
        </w:tc>
        <w:tc>
          <w:tcPr>
            <w:tcW w:w="709" w:type="dxa"/>
            <w:tcBorders>
              <w:left w:val="single" w:sz="4" w:space="0" w:color="auto"/>
            </w:tcBorders>
            <w:shd w:val="clear" w:color="000000" w:fill="FFFFFF"/>
            <w:vAlign w:val="center"/>
          </w:tcPr>
          <w:p w14:paraId="684151AA"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(243.4)</w:t>
            </w:r>
          </w:p>
        </w:tc>
        <w:tc>
          <w:tcPr>
            <w:tcW w:w="987" w:type="dxa"/>
            <w:shd w:val="clear" w:color="000000" w:fill="FFFFFF"/>
            <w:vAlign w:val="center"/>
          </w:tcPr>
          <w:p w14:paraId="2CE6E863"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23.0</w:t>
            </w:r>
          </w:p>
        </w:tc>
        <w:tc>
          <w:tcPr>
            <w:tcW w:w="851" w:type="dxa"/>
            <w:shd w:val="clear" w:color="000000" w:fill="FFFFFF"/>
            <w:vAlign w:val="center"/>
          </w:tcPr>
          <w:p w14:paraId="316DDA95"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0.3</w:t>
            </w:r>
          </w:p>
        </w:tc>
        <w:tc>
          <w:tcPr>
            <w:tcW w:w="709" w:type="dxa"/>
            <w:tcBorders>
              <w:right w:val="single" w:sz="4" w:space="0" w:color="auto"/>
            </w:tcBorders>
            <w:shd w:val="clear" w:color="000000" w:fill="FFFFFF"/>
            <w:vAlign w:val="center"/>
          </w:tcPr>
          <w:p w14:paraId="5E675DF1"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(220.1)</w:t>
            </w:r>
          </w:p>
        </w:tc>
        <w:tc>
          <w:tcPr>
            <w:tcW w:w="713" w:type="dxa"/>
            <w:tcBorders>
              <w:left w:val="single" w:sz="4" w:space="0" w:color="auto"/>
            </w:tcBorders>
            <w:shd w:val="clear" w:color="000000" w:fill="FFFFFF"/>
            <w:vAlign w:val="center"/>
          </w:tcPr>
          <w:p w14:paraId="3E8BE242"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(176.9)</w:t>
            </w:r>
          </w:p>
        </w:tc>
        <w:tc>
          <w:tcPr>
            <w:tcW w:w="993" w:type="dxa"/>
            <w:shd w:val="clear" w:color="000000" w:fill="FFFFFF"/>
            <w:vAlign w:val="center"/>
          </w:tcPr>
          <w:p w14:paraId="1773D38C" w14:textId="77777777" w:rsidR="0044035E" w:rsidRPr="00A455FD" w:rsidRDefault="0044035E" w:rsidP="006A1A41">
            <w:pPr>
              <w:spacing w:line="276" w:lineRule="auto"/>
              <w:jc w:val="center"/>
              <w:rPr>
                <w:rFonts w:asciiTheme="minorHAnsi" w:hAnsiTheme="minorHAnsi" w:cstheme="minorHAnsi"/>
                <w:sz w:val="12"/>
                <w:szCs w:val="12"/>
              </w:rPr>
            </w:pPr>
            <w:r w:rsidRPr="00A455FD">
              <w:rPr>
                <w:rFonts w:asciiTheme="minorHAnsi" w:hAnsiTheme="minorHAnsi" w:cstheme="minorHAnsi"/>
                <w:color w:val="000000"/>
                <w:sz w:val="12"/>
                <w:szCs w:val="12"/>
              </w:rPr>
              <w:t>14.0</w:t>
            </w:r>
          </w:p>
        </w:tc>
        <w:tc>
          <w:tcPr>
            <w:tcW w:w="850" w:type="dxa"/>
            <w:shd w:val="clear" w:color="000000" w:fill="FFFFFF"/>
            <w:vAlign w:val="center"/>
          </w:tcPr>
          <w:p w14:paraId="518765F8"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w:t>
            </w:r>
          </w:p>
        </w:tc>
        <w:tc>
          <w:tcPr>
            <w:tcW w:w="709" w:type="dxa"/>
            <w:tcBorders>
              <w:right w:val="single" w:sz="4" w:space="0" w:color="auto"/>
            </w:tcBorders>
            <w:shd w:val="clear" w:color="000000" w:fill="FFFFFF"/>
            <w:vAlign w:val="center"/>
          </w:tcPr>
          <w:p w14:paraId="525FB934"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(162.9)</w:t>
            </w:r>
          </w:p>
        </w:tc>
        <w:tc>
          <w:tcPr>
            <w:tcW w:w="704" w:type="dxa"/>
            <w:tcBorders>
              <w:left w:val="single" w:sz="4" w:space="0" w:color="auto"/>
            </w:tcBorders>
            <w:shd w:val="clear" w:color="000000" w:fill="FFFFFF"/>
            <w:vAlign w:val="center"/>
          </w:tcPr>
          <w:p w14:paraId="3D50DF20"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38%</w:t>
            </w:r>
          </w:p>
        </w:tc>
        <w:tc>
          <w:tcPr>
            <w:tcW w:w="708" w:type="dxa"/>
            <w:shd w:val="clear" w:color="000000" w:fill="FFFFFF"/>
            <w:vAlign w:val="center"/>
          </w:tcPr>
          <w:p w14:paraId="628CA34B"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35%</w:t>
            </w:r>
          </w:p>
        </w:tc>
      </w:tr>
      <w:tr w:rsidR="0044035E" w:rsidRPr="00CA4A72" w14:paraId="68ACCCCD" w14:textId="77777777" w:rsidTr="006A1A41">
        <w:trPr>
          <w:trHeight w:val="170"/>
        </w:trPr>
        <w:tc>
          <w:tcPr>
            <w:tcW w:w="1696" w:type="dxa"/>
            <w:tcBorders>
              <w:top w:val="nil"/>
              <w:bottom w:val="nil"/>
              <w:right w:val="single" w:sz="4" w:space="0" w:color="auto"/>
            </w:tcBorders>
            <w:vAlign w:val="center"/>
            <w:hideMark/>
          </w:tcPr>
          <w:p w14:paraId="597322DA"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Marketing and sales</w:t>
            </w:r>
          </w:p>
        </w:tc>
        <w:tc>
          <w:tcPr>
            <w:tcW w:w="709" w:type="dxa"/>
            <w:tcBorders>
              <w:left w:val="single" w:sz="4" w:space="0" w:color="auto"/>
            </w:tcBorders>
            <w:shd w:val="clear" w:color="000000" w:fill="FFFFFF"/>
            <w:vAlign w:val="center"/>
          </w:tcPr>
          <w:p w14:paraId="310CDFEF"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(315.9)</w:t>
            </w:r>
          </w:p>
        </w:tc>
        <w:tc>
          <w:tcPr>
            <w:tcW w:w="987" w:type="dxa"/>
            <w:shd w:val="clear" w:color="000000" w:fill="FFFFFF"/>
            <w:vAlign w:val="center"/>
          </w:tcPr>
          <w:p w14:paraId="55F7AC63"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16.6</w:t>
            </w:r>
          </w:p>
        </w:tc>
        <w:tc>
          <w:tcPr>
            <w:tcW w:w="851" w:type="dxa"/>
            <w:shd w:val="clear" w:color="000000" w:fill="FFFFFF"/>
            <w:vAlign w:val="center"/>
          </w:tcPr>
          <w:p w14:paraId="199D46A2"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0.1</w:t>
            </w:r>
          </w:p>
        </w:tc>
        <w:tc>
          <w:tcPr>
            <w:tcW w:w="709" w:type="dxa"/>
            <w:tcBorders>
              <w:right w:val="single" w:sz="4" w:space="0" w:color="auto"/>
            </w:tcBorders>
            <w:shd w:val="clear" w:color="000000" w:fill="FFFFFF"/>
            <w:vAlign w:val="center"/>
          </w:tcPr>
          <w:p w14:paraId="41AB6136"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(299.2)</w:t>
            </w:r>
          </w:p>
        </w:tc>
        <w:tc>
          <w:tcPr>
            <w:tcW w:w="713" w:type="dxa"/>
            <w:tcBorders>
              <w:left w:val="single" w:sz="4" w:space="0" w:color="auto"/>
            </w:tcBorders>
            <w:shd w:val="clear" w:color="000000" w:fill="FFFFFF"/>
            <w:vAlign w:val="center"/>
          </w:tcPr>
          <w:p w14:paraId="66BD1C79"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(300.5)</w:t>
            </w:r>
          </w:p>
        </w:tc>
        <w:tc>
          <w:tcPr>
            <w:tcW w:w="993" w:type="dxa"/>
            <w:shd w:val="clear" w:color="000000" w:fill="FFFFFF"/>
            <w:vAlign w:val="center"/>
          </w:tcPr>
          <w:p w14:paraId="7FFA2F36" w14:textId="77777777" w:rsidR="0044035E" w:rsidRPr="00A455FD" w:rsidRDefault="0044035E" w:rsidP="006A1A41">
            <w:pPr>
              <w:spacing w:line="276" w:lineRule="auto"/>
              <w:jc w:val="center"/>
              <w:rPr>
                <w:rFonts w:asciiTheme="minorHAnsi" w:hAnsiTheme="minorHAnsi" w:cstheme="minorHAnsi"/>
                <w:sz w:val="12"/>
                <w:szCs w:val="12"/>
              </w:rPr>
            </w:pPr>
            <w:r w:rsidRPr="00A455FD">
              <w:rPr>
                <w:rFonts w:asciiTheme="minorHAnsi" w:hAnsiTheme="minorHAnsi" w:cstheme="minorHAnsi"/>
                <w:color w:val="000000"/>
                <w:sz w:val="12"/>
                <w:szCs w:val="12"/>
              </w:rPr>
              <w:t>10.7</w:t>
            </w:r>
          </w:p>
        </w:tc>
        <w:tc>
          <w:tcPr>
            <w:tcW w:w="850" w:type="dxa"/>
            <w:shd w:val="clear" w:color="000000" w:fill="FFFFFF"/>
            <w:vAlign w:val="center"/>
          </w:tcPr>
          <w:p w14:paraId="3BF221FB"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w:t>
            </w:r>
          </w:p>
        </w:tc>
        <w:tc>
          <w:tcPr>
            <w:tcW w:w="709" w:type="dxa"/>
            <w:tcBorders>
              <w:right w:val="single" w:sz="4" w:space="0" w:color="auto"/>
            </w:tcBorders>
            <w:shd w:val="clear" w:color="000000" w:fill="FFFFFF"/>
            <w:vAlign w:val="center"/>
          </w:tcPr>
          <w:p w14:paraId="530E5B4C"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(289.8)</w:t>
            </w:r>
          </w:p>
        </w:tc>
        <w:tc>
          <w:tcPr>
            <w:tcW w:w="704" w:type="dxa"/>
            <w:tcBorders>
              <w:left w:val="single" w:sz="4" w:space="0" w:color="auto"/>
            </w:tcBorders>
            <w:shd w:val="clear" w:color="000000" w:fill="FFFFFF"/>
            <w:vAlign w:val="center"/>
          </w:tcPr>
          <w:p w14:paraId="68D14687"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5%</w:t>
            </w:r>
          </w:p>
        </w:tc>
        <w:tc>
          <w:tcPr>
            <w:tcW w:w="708" w:type="dxa"/>
            <w:shd w:val="clear" w:color="000000" w:fill="FFFFFF"/>
            <w:vAlign w:val="center"/>
          </w:tcPr>
          <w:p w14:paraId="3F8B93AB"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3%</w:t>
            </w:r>
          </w:p>
        </w:tc>
      </w:tr>
      <w:tr w:rsidR="0044035E" w:rsidRPr="00CA4A72" w14:paraId="06279806" w14:textId="77777777" w:rsidTr="006A1A41">
        <w:trPr>
          <w:trHeight w:val="170"/>
        </w:trPr>
        <w:tc>
          <w:tcPr>
            <w:tcW w:w="1696" w:type="dxa"/>
            <w:tcBorders>
              <w:top w:val="nil"/>
              <w:bottom w:val="nil"/>
              <w:right w:val="single" w:sz="4" w:space="0" w:color="auto"/>
            </w:tcBorders>
            <w:vAlign w:val="center"/>
            <w:hideMark/>
          </w:tcPr>
          <w:p w14:paraId="4839D1D4"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General and administrative</w:t>
            </w:r>
          </w:p>
        </w:tc>
        <w:tc>
          <w:tcPr>
            <w:tcW w:w="709" w:type="dxa"/>
            <w:tcBorders>
              <w:left w:val="single" w:sz="4" w:space="0" w:color="auto"/>
            </w:tcBorders>
            <w:shd w:val="clear" w:color="000000" w:fill="FFFFFF"/>
            <w:vAlign w:val="center"/>
          </w:tcPr>
          <w:p w14:paraId="6D33876E"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(101.0)</w:t>
            </w:r>
          </w:p>
        </w:tc>
        <w:tc>
          <w:tcPr>
            <w:tcW w:w="987" w:type="dxa"/>
            <w:shd w:val="clear" w:color="000000" w:fill="FFFFFF"/>
            <w:vAlign w:val="center"/>
          </w:tcPr>
          <w:p w14:paraId="6CDF89DC"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17.8</w:t>
            </w:r>
          </w:p>
        </w:tc>
        <w:tc>
          <w:tcPr>
            <w:tcW w:w="851" w:type="dxa"/>
            <w:shd w:val="clear" w:color="000000" w:fill="FFFFFF"/>
            <w:vAlign w:val="center"/>
          </w:tcPr>
          <w:p w14:paraId="56B8A359"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0.2</w:t>
            </w:r>
          </w:p>
        </w:tc>
        <w:tc>
          <w:tcPr>
            <w:tcW w:w="709" w:type="dxa"/>
            <w:tcBorders>
              <w:right w:val="single" w:sz="4" w:space="0" w:color="auto"/>
            </w:tcBorders>
            <w:shd w:val="clear" w:color="000000" w:fill="FFFFFF"/>
            <w:vAlign w:val="center"/>
          </w:tcPr>
          <w:p w14:paraId="045F72DD"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(83.0)</w:t>
            </w:r>
          </w:p>
        </w:tc>
        <w:tc>
          <w:tcPr>
            <w:tcW w:w="713" w:type="dxa"/>
            <w:tcBorders>
              <w:left w:val="single" w:sz="4" w:space="0" w:color="auto"/>
            </w:tcBorders>
            <w:shd w:val="clear" w:color="000000" w:fill="FFFFFF"/>
            <w:vAlign w:val="center"/>
          </w:tcPr>
          <w:p w14:paraId="5CC6407B"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(75.7)</w:t>
            </w:r>
          </w:p>
        </w:tc>
        <w:tc>
          <w:tcPr>
            <w:tcW w:w="993" w:type="dxa"/>
            <w:shd w:val="clear" w:color="000000" w:fill="FFFFFF"/>
            <w:vAlign w:val="center"/>
          </w:tcPr>
          <w:p w14:paraId="3CA4915D" w14:textId="77777777" w:rsidR="0044035E" w:rsidRPr="00A455FD" w:rsidRDefault="0044035E" w:rsidP="006A1A41">
            <w:pPr>
              <w:spacing w:line="276" w:lineRule="auto"/>
              <w:jc w:val="center"/>
              <w:rPr>
                <w:rFonts w:asciiTheme="minorHAnsi" w:hAnsiTheme="minorHAnsi" w:cstheme="minorHAnsi"/>
                <w:sz w:val="12"/>
                <w:szCs w:val="12"/>
              </w:rPr>
            </w:pPr>
            <w:r w:rsidRPr="00A455FD">
              <w:rPr>
                <w:rFonts w:asciiTheme="minorHAnsi" w:hAnsiTheme="minorHAnsi" w:cstheme="minorHAnsi"/>
                <w:color w:val="000000"/>
                <w:sz w:val="12"/>
                <w:szCs w:val="12"/>
              </w:rPr>
              <w:t>8.0</w:t>
            </w:r>
          </w:p>
        </w:tc>
        <w:tc>
          <w:tcPr>
            <w:tcW w:w="850" w:type="dxa"/>
            <w:shd w:val="clear" w:color="000000" w:fill="FFFFFF"/>
            <w:vAlign w:val="center"/>
          </w:tcPr>
          <w:p w14:paraId="10697F18"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w:t>
            </w:r>
          </w:p>
        </w:tc>
        <w:tc>
          <w:tcPr>
            <w:tcW w:w="709" w:type="dxa"/>
            <w:tcBorders>
              <w:right w:val="single" w:sz="4" w:space="0" w:color="auto"/>
            </w:tcBorders>
            <w:shd w:val="clear" w:color="000000" w:fill="FFFFFF"/>
            <w:vAlign w:val="center"/>
          </w:tcPr>
          <w:p w14:paraId="3A3D7B2F"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(67.7)</w:t>
            </w:r>
          </w:p>
        </w:tc>
        <w:tc>
          <w:tcPr>
            <w:tcW w:w="704" w:type="dxa"/>
            <w:tcBorders>
              <w:left w:val="single" w:sz="4" w:space="0" w:color="auto"/>
            </w:tcBorders>
            <w:shd w:val="clear" w:color="000000" w:fill="FFFFFF"/>
            <w:vAlign w:val="center"/>
          </w:tcPr>
          <w:p w14:paraId="63AB8E24"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34%</w:t>
            </w:r>
          </w:p>
        </w:tc>
        <w:tc>
          <w:tcPr>
            <w:tcW w:w="708" w:type="dxa"/>
            <w:shd w:val="clear" w:color="000000" w:fill="FFFFFF"/>
            <w:vAlign w:val="center"/>
          </w:tcPr>
          <w:p w14:paraId="4778F3A3"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23%</w:t>
            </w:r>
          </w:p>
        </w:tc>
      </w:tr>
      <w:tr w:rsidR="0044035E" w:rsidRPr="00CA4A72" w14:paraId="3DDA198C" w14:textId="77777777" w:rsidTr="006A1A41">
        <w:trPr>
          <w:trHeight w:val="170"/>
        </w:trPr>
        <w:tc>
          <w:tcPr>
            <w:tcW w:w="1696" w:type="dxa"/>
            <w:tcBorders>
              <w:top w:val="nil"/>
              <w:bottom w:val="single" w:sz="4" w:space="0" w:color="auto"/>
              <w:right w:val="single" w:sz="4" w:space="0" w:color="auto"/>
            </w:tcBorders>
            <w:vAlign w:val="center"/>
            <w:hideMark/>
          </w:tcPr>
          <w:p w14:paraId="37FFCF8F" w14:textId="77777777" w:rsidR="0044035E" w:rsidRPr="00CA4A72" w:rsidRDefault="0044035E" w:rsidP="006A1A41">
            <w:pPr>
              <w:spacing w:line="276" w:lineRule="auto"/>
              <w:rPr>
                <w:rFonts w:asciiTheme="minorHAnsi" w:eastAsia="Times New Roman" w:hAnsiTheme="minorHAnsi" w:cstheme="minorHAnsi"/>
                <w:b/>
                <w:bCs/>
                <w:sz w:val="12"/>
                <w:szCs w:val="12"/>
                <w:lang w:eastAsia="en-GB"/>
              </w:rPr>
            </w:pPr>
            <w:r w:rsidRPr="00CA4A72">
              <w:rPr>
                <w:rFonts w:asciiTheme="minorHAnsi" w:hAnsiTheme="minorHAnsi" w:cstheme="minorHAnsi"/>
                <w:b/>
                <w:bCs/>
                <w:sz w:val="12"/>
                <w:szCs w:val="12"/>
              </w:rPr>
              <w:t>Total</w:t>
            </w:r>
          </w:p>
        </w:tc>
        <w:tc>
          <w:tcPr>
            <w:tcW w:w="709" w:type="dxa"/>
            <w:tcBorders>
              <w:left w:val="single" w:sz="4" w:space="0" w:color="auto"/>
            </w:tcBorders>
            <w:shd w:val="clear" w:color="000000" w:fill="FFFFFF"/>
            <w:vAlign w:val="center"/>
          </w:tcPr>
          <w:p w14:paraId="6BCA6F52"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p>
        </w:tc>
        <w:tc>
          <w:tcPr>
            <w:tcW w:w="987" w:type="dxa"/>
            <w:shd w:val="clear" w:color="000000" w:fill="FFFFFF"/>
            <w:vAlign w:val="center"/>
          </w:tcPr>
          <w:p w14:paraId="501D9CD7"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€ 59.4</w:t>
            </w:r>
          </w:p>
        </w:tc>
        <w:tc>
          <w:tcPr>
            <w:tcW w:w="851" w:type="dxa"/>
            <w:shd w:val="clear" w:color="000000" w:fill="FFFFFF"/>
            <w:noWrap/>
            <w:vAlign w:val="center"/>
          </w:tcPr>
          <w:p w14:paraId="1B16CE48"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€ 0.7</w:t>
            </w:r>
          </w:p>
        </w:tc>
        <w:tc>
          <w:tcPr>
            <w:tcW w:w="709" w:type="dxa"/>
            <w:tcBorders>
              <w:bottom w:val="single" w:sz="4" w:space="0" w:color="auto"/>
              <w:right w:val="single" w:sz="4" w:space="0" w:color="auto"/>
            </w:tcBorders>
            <w:shd w:val="clear" w:color="000000" w:fill="FFFFFF"/>
            <w:vAlign w:val="center"/>
          </w:tcPr>
          <w:p w14:paraId="54F46264"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p>
        </w:tc>
        <w:tc>
          <w:tcPr>
            <w:tcW w:w="713" w:type="dxa"/>
            <w:tcBorders>
              <w:left w:val="single" w:sz="4" w:space="0" w:color="auto"/>
            </w:tcBorders>
            <w:shd w:val="clear" w:color="auto" w:fill="auto"/>
            <w:vAlign w:val="center"/>
          </w:tcPr>
          <w:p w14:paraId="3E6F860C"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p>
        </w:tc>
        <w:tc>
          <w:tcPr>
            <w:tcW w:w="993" w:type="dxa"/>
            <w:shd w:val="clear" w:color="000000" w:fill="FFFFFF"/>
            <w:vAlign w:val="center"/>
          </w:tcPr>
          <w:p w14:paraId="57764D87" w14:textId="77777777" w:rsidR="0044035E" w:rsidRPr="00A455FD" w:rsidRDefault="0044035E" w:rsidP="006A1A41">
            <w:pPr>
              <w:spacing w:line="276" w:lineRule="auto"/>
              <w:jc w:val="center"/>
              <w:rPr>
                <w:rFonts w:asciiTheme="minorHAnsi" w:hAnsiTheme="minorHAnsi" w:cstheme="minorHAnsi"/>
                <w:b/>
                <w:bCs/>
                <w:sz w:val="12"/>
                <w:szCs w:val="12"/>
              </w:rPr>
            </w:pPr>
            <w:r w:rsidRPr="00A455FD">
              <w:rPr>
                <w:rFonts w:asciiTheme="minorHAnsi" w:hAnsiTheme="minorHAnsi" w:cstheme="minorHAnsi"/>
                <w:b/>
                <w:bCs/>
                <w:color w:val="000000"/>
                <w:sz w:val="12"/>
                <w:szCs w:val="12"/>
              </w:rPr>
              <w:t>€ 34.2</w:t>
            </w:r>
          </w:p>
        </w:tc>
        <w:tc>
          <w:tcPr>
            <w:tcW w:w="850" w:type="dxa"/>
            <w:shd w:val="clear" w:color="000000" w:fill="FFFFFF"/>
            <w:noWrap/>
            <w:vAlign w:val="center"/>
          </w:tcPr>
          <w:p w14:paraId="708925B5"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Pr>
                <w:rFonts w:asciiTheme="minorHAnsi" w:hAnsiTheme="minorHAnsi" w:cstheme="minorHAnsi"/>
                <w:b/>
                <w:bCs/>
                <w:color w:val="000000"/>
                <w:sz w:val="12"/>
                <w:szCs w:val="12"/>
              </w:rPr>
              <w:t xml:space="preserve">€ </w:t>
            </w:r>
            <w:r w:rsidRPr="00A455FD">
              <w:rPr>
                <w:rFonts w:asciiTheme="minorHAnsi" w:hAnsiTheme="minorHAnsi" w:cstheme="minorHAnsi"/>
                <w:b/>
                <w:bCs/>
                <w:color w:val="000000"/>
                <w:sz w:val="12"/>
                <w:szCs w:val="12"/>
              </w:rPr>
              <w:t>-</w:t>
            </w:r>
          </w:p>
        </w:tc>
        <w:tc>
          <w:tcPr>
            <w:tcW w:w="709" w:type="dxa"/>
            <w:tcBorders>
              <w:bottom w:val="single" w:sz="4" w:space="0" w:color="auto"/>
              <w:right w:val="single" w:sz="4" w:space="0" w:color="auto"/>
            </w:tcBorders>
            <w:shd w:val="clear" w:color="auto" w:fill="auto"/>
            <w:vAlign w:val="center"/>
          </w:tcPr>
          <w:p w14:paraId="58787FA6"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p>
        </w:tc>
        <w:tc>
          <w:tcPr>
            <w:tcW w:w="704" w:type="dxa"/>
            <w:tcBorders>
              <w:left w:val="single" w:sz="4" w:space="0" w:color="auto"/>
            </w:tcBorders>
            <w:shd w:val="clear" w:color="auto" w:fill="auto"/>
            <w:noWrap/>
            <w:vAlign w:val="center"/>
          </w:tcPr>
          <w:p w14:paraId="21C5D68D"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p>
        </w:tc>
        <w:tc>
          <w:tcPr>
            <w:tcW w:w="708" w:type="dxa"/>
            <w:shd w:val="clear" w:color="auto" w:fill="auto"/>
            <w:noWrap/>
            <w:vAlign w:val="center"/>
          </w:tcPr>
          <w:p w14:paraId="3DC4B17F"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p>
        </w:tc>
      </w:tr>
    </w:tbl>
    <w:p w14:paraId="7312E37A" w14:textId="77777777" w:rsidR="0044035E" w:rsidRDefault="0044035E" w:rsidP="0044035E">
      <w:pPr>
        <w:spacing w:line="276" w:lineRule="auto"/>
        <w:ind w:right="-113"/>
        <w:rPr>
          <w:rFonts w:asciiTheme="minorHAnsi" w:eastAsia="MS Mincho" w:hAnsiTheme="minorHAnsi" w:cstheme="minorHAnsi"/>
          <w:bCs/>
          <w:color w:val="000000"/>
          <w:sz w:val="14"/>
          <w:szCs w:val="14"/>
          <w:lang w:eastAsia="ja-JP"/>
        </w:rPr>
      </w:pPr>
      <w:r w:rsidRPr="002C073C">
        <w:rPr>
          <w:rFonts w:asciiTheme="minorHAnsi" w:eastAsia="MS Mincho" w:hAnsiTheme="minorHAnsi" w:cstheme="minorHAnsi"/>
          <w:bCs/>
          <w:color w:val="000000"/>
          <w:sz w:val="14"/>
          <w:szCs w:val="14"/>
          <w:vertAlign w:val="superscript"/>
          <w:lang w:eastAsia="ja-JP"/>
        </w:rPr>
        <w:t>(2)</w:t>
      </w:r>
      <w:r w:rsidRPr="00D27EF3">
        <w:rPr>
          <w:rFonts w:asciiTheme="minorHAnsi" w:eastAsia="MS Mincho" w:hAnsiTheme="minorHAnsi" w:cstheme="minorHAnsi"/>
          <w:bCs/>
          <w:color w:val="000000"/>
          <w:sz w:val="14"/>
          <w:szCs w:val="14"/>
          <w:lang w:eastAsia="ja-JP"/>
        </w:rPr>
        <w:t xml:space="preserve"> Excluding ENOVIA Life Sciences Compliance and Quality Management </w:t>
      </w:r>
      <w:r w:rsidRPr="0031582A">
        <w:rPr>
          <w:rFonts w:asciiTheme="minorHAnsi" w:eastAsia="MS Mincho" w:hAnsiTheme="minorHAnsi" w:cstheme="minorHAnsi"/>
          <w:bCs/>
          <w:color w:val="000000"/>
          <w:sz w:val="14"/>
          <w:szCs w:val="14"/>
          <w:lang w:eastAsia="ja-JP"/>
        </w:rPr>
        <w:t>(Q2 2019: €3.7m)</w:t>
      </w:r>
      <w:r>
        <w:rPr>
          <w:rFonts w:asciiTheme="minorHAnsi" w:eastAsia="MS Mincho" w:hAnsiTheme="minorHAnsi" w:cstheme="minorHAnsi"/>
          <w:bCs/>
          <w:color w:val="000000"/>
          <w:sz w:val="14"/>
          <w:szCs w:val="14"/>
          <w:lang w:eastAsia="ja-JP"/>
        </w:rPr>
        <w:t>.</w:t>
      </w:r>
      <w:r w:rsidRPr="0031582A">
        <w:rPr>
          <w:rFonts w:asciiTheme="minorHAnsi" w:eastAsia="MS Mincho" w:hAnsiTheme="minorHAnsi" w:cstheme="minorHAnsi"/>
          <w:bCs/>
          <w:color w:val="000000"/>
          <w:sz w:val="14"/>
          <w:szCs w:val="14"/>
          <w:lang w:eastAsia="ja-JP"/>
        </w:rPr>
        <w:t xml:space="preserve"> </w:t>
      </w:r>
    </w:p>
    <w:p w14:paraId="36ADB46F" w14:textId="77777777" w:rsidR="0044035E" w:rsidRPr="00F77A8E" w:rsidRDefault="0044035E" w:rsidP="0044035E">
      <w:pPr>
        <w:spacing w:line="276" w:lineRule="auto"/>
        <w:ind w:right="-113"/>
        <w:rPr>
          <w:rFonts w:asciiTheme="minorHAnsi" w:eastAsia="MS Mincho" w:hAnsiTheme="minorHAnsi" w:cstheme="minorHAnsi"/>
          <w:bCs/>
          <w:color w:val="000000"/>
          <w:sz w:val="14"/>
          <w:szCs w:val="14"/>
          <w:lang w:eastAsia="ja-JP"/>
        </w:rPr>
      </w:pPr>
      <w:r w:rsidRPr="002C073C">
        <w:rPr>
          <w:rFonts w:asciiTheme="minorHAnsi" w:eastAsia="MS Mincho" w:hAnsiTheme="minorHAnsi" w:cstheme="minorHAnsi"/>
          <w:bCs/>
          <w:color w:val="000000"/>
          <w:sz w:val="14"/>
          <w:szCs w:val="14"/>
          <w:vertAlign w:val="superscript"/>
          <w:lang w:eastAsia="ja-JP"/>
        </w:rPr>
        <w:t>(3)</w:t>
      </w:r>
      <w:r w:rsidRPr="00D27EF3">
        <w:rPr>
          <w:rFonts w:asciiTheme="minorHAnsi" w:eastAsia="MS Mincho" w:hAnsiTheme="minorHAnsi" w:cstheme="minorHAnsi"/>
          <w:bCs/>
          <w:color w:val="000000"/>
          <w:sz w:val="14"/>
          <w:szCs w:val="14"/>
          <w:lang w:eastAsia="ja-JP"/>
        </w:rPr>
        <w:t xml:space="preserve"> Including ENOVIA Life Sciences Compliance and Quality Management </w:t>
      </w:r>
      <w:r w:rsidRPr="0031582A">
        <w:rPr>
          <w:rFonts w:asciiTheme="minorHAnsi" w:eastAsia="MS Mincho" w:hAnsiTheme="minorHAnsi" w:cstheme="minorHAnsi"/>
          <w:bCs/>
          <w:color w:val="000000"/>
          <w:sz w:val="14"/>
          <w:szCs w:val="14"/>
          <w:lang w:eastAsia="ja-JP"/>
        </w:rPr>
        <w:t>(</w:t>
      </w:r>
      <w:r>
        <w:rPr>
          <w:rFonts w:asciiTheme="minorHAnsi" w:eastAsia="MS Mincho" w:hAnsiTheme="minorHAnsi" w:cstheme="minorHAnsi"/>
          <w:bCs/>
          <w:color w:val="000000"/>
          <w:sz w:val="14"/>
          <w:szCs w:val="14"/>
          <w:lang w:eastAsia="ja-JP"/>
        </w:rPr>
        <w:t>Q2 2019: €3.7m</w:t>
      </w:r>
      <w:r w:rsidRPr="0031582A">
        <w:rPr>
          <w:rFonts w:asciiTheme="minorHAnsi" w:eastAsia="MS Mincho" w:hAnsiTheme="minorHAnsi" w:cstheme="minorHAnsi"/>
          <w:bCs/>
          <w:color w:val="000000"/>
          <w:sz w:val="14"/>
          <w:szCs w:val="14"/>
          <w:lang w:eastAsia="ja-JP"/>
        </w:rPr>
        <w:t>)</w:t>
      </w:r>
      <w:r>
        <w:rPr>
          <w:rFonts w:asciiTheme="minorHAnsi" w:eastAsia="MS Mincho" w:hAnsiTheme="minorHAnsi" w:cstheme="minorHAnsi"/>
          <w:bCs/>
          <w:color w:val="000000"/>
          <w:sz w:val="14"/>
          <w:szCs w:val="14"/>
          <w:lang w:eastAsia="ja-JP"/>
        </w:rPr>
        <w:t>.</w:t>
      </w:r>
    </w:p>
    <w:p w14:paraId="40EFDC91" w14:textId="77777777" w:rsidR="0044035E" w:rsidRPr="00D27EF3" w:rsidRDefault="0044035E" w:rsidP="0044035E">
      <w:pPr>
        <w:autoSpaceDE w:val="0"/>
        <w:autoSpaceDN w:val="0"/>
        <w:adjustRightInd w:val="0"/>
        <w:ind w:right="-113"/>
        <w:jc w:val="both"/>
        <w:rPr>
          <w:rFonts w:asciiTheme="minorHAnsi" w:hAnsiTheme="minorHAnsi" w:cstheme="minorHAnsi"/>
          <w:color w:val="000000"/>
          <w:sz w:val="14"/>
          <w:szCs w:val="14"/>
        </w:rPr>
      </w:pPr>
      <w:r w:rsidRPr="002C073C">
        <w:rPr>
          <w:rFonts w:asciiTheme="minorHAnsi" w:hAnsiTheme="minorHAnsi" w:cstheme="minorHAnsi"/>
          <w:color w:val="000000"/>
          <w:sz w:val="14"/>
          <w:szCs w:val="14"/>
          <w:vertAlign w:val="superscript"/>
        </w:rPr>
        <w:t>(4)</w:t>
      </w:r>
      <w:r w:rsidRPr="00D27EF3">
        <w:rPr>
          <w:rFonts w:asciiTheme="minorHAnsi" w:hAnsiTheme="minorHAnsi" w:cstheme="minorHAnsi"/>
          <w:color w:val="000000"/>
          <w:sz w:val="14"/>
          <w:szCs w:val="14"/>
        </w:rPr>
        <w:t xml:space="preserve"> The non-IFRS percentage increase (decrease) compares non-IFRS measures for the two different periods. In the event there is non-IFRS adjustment to the relevant measure for only one of the periods under comparison, the non-IFRS increase (decrease) compares the non-IFRS measure to the relevant IFRS measure.</w:t>
      </w:r>
    </w:p>
    <w:p w14:paraId="4CED8323" w14:textId="77777777" w:rsidR="0044035E" w:rsidRPr="00D27EF3" w:rsidRDefault="0044035E" w:rsidP="0044035E">
      <w:pPr>
        <w:autoSpaceDE w:val="0"/>
        <w:autoSpaceDN w:val="0"/>
        <w:adjustRightInd w:val="0"/>
        <w:ind w:right="-113"/>
        <w:jc w:val="both"/>
        <w:rPr>
          <w:rFonts w:asciiTheme="minorHAnsi" w:hAnsiTheme="minorHAnsi" w:cstheme="minorHAnsi"/>
          <w:color w:val="000000"/>
          <w:sz w:val="14"/>
          <w:szCs w:val="14"/>
        </w:rPr>
      </w:pPr>
      <w:r w:rsidRPr="002C073C">
        <w:rPr>
          <w:rFonts w:asciiTheme="minorHAnsi" w:hAnsiTheme="minorHAnsi" w:cstheme="minorHAnsi"/>
          <w:color w:val="000000"/>
          <w:sz w:val="14"/>
          <w:szCs w:val="14"/>
          <w:vertAlign w:val="superscript"/>
        </w:rPr>
        <w:t>(5)</w:t>
      </w:r>
      <w:r w:rsidRPr="00D27EF3">
        <w:rPr>
          <w:rFonts w:asciiTheme="minorHAnsi" w:hAnsiTheme="minorHAnsi" w:cstheme="minorHAnsi"/>
          <w:color w:val="000000"/>
          <w:sz w:val="14"/>
          <w:szCs w:val="14"/>
        </w:rPr>
        <w:t xml:space="preserve"> Based on a </w:t>
      </w:r>
      <w:r w:rsidRPr="00B64205">
        <w:rPr>
          <w:rFonts w:asciiTheme="minorHAnsi" w:hAnsiTheme="minorHAnsi" w:cstheme="minorHAnsi"/>
          <w:color w:val="000000"/>
          <w:sz w:val="14"/>
          <w:szCs w:val="14"/>
        </w:rPr>
        <w:t>weighted average 262.7 million diluted shares for Q2 2020 and</w:t>
      </w:r>
      <w:r w:rsidRPr="00EC5C66">
        <w:rPr>
          <w:rFonts w:asciiTheme="minorHAnsi" w:hAnsiTheme="minorHAnsi" w:cstheme="minorHAnsi"/>
          <w:color w:val="000000"/>
          <w:sz w:val="14"/>
          <w:szCs w:val="14"/>
        </w:rPr>
        <w:t xml:space="preserve"> 261.1 million diluted shares for Q2 2019.</w:t>
      </w:r>
    </w:p>
    <w:p w14:paraId="1E4C62B1" w14:textId="77777777" w:rsidR="0044035E" w:rsidRPr="008A197B" w:rsidRDefault="0044035E" w:rsidP="0044035E">
      <w:pPr>
        <w:autoSpaceDE w:val="0"/>
        <w:autoSpaceDN w:val="0"/>
        <w:adjustRightInd w:val="0"/>
        <w:ind w:right="-113"/>
        <w:jc w:val="center"/>
        <w:rPr>
          <w:rFonts w:asciiTheme="minorHAnsi" w:hAnsiTheme="minorHAnsi" w:cstheme="minorHAnsi"/>
          <w:b/>
          <w:bCs/>
          <w:color w:val="000000"/>
          <w:lang w:val="fr-FR"/>
        </w:rPr>
      </w:pPr>
      <w:r w:rsidRPr="008A197B">
        <w:rPr>
          <w:rFonts w:asciiTheme="minorHAnsi" w:hAnsiTheme="minorHAnsi" w:cstheme="minorHAnsi"/>
          <w:b/>
          <w:bCs/>
          <w:color w:val="000000"/>
          <w:lang w:val="fr-FR"/>
        </w:rPr>
        <w:t>DASSAULT SYSTEMES</w:t>
      </w:r>
    </w:p>
    <w:p w14:paraId="7372D546" w14:textId="77777777" w:rsidR="0044035E" w:rsidRPr="008A197B" w:rsidRDefault="0044035E" w:rsidP="0044035E">
      <w:pPr>
        <w:autoSpaceDE w:val="0"/>
        <w:autoSpaceDN w:val="0"/>
        <w:adjustRightInd w:val="0"/>
        <w:ind w:right="-113"/>
        <w:jc w:val="center"/>
        <w:rPr>
          <w:rFonts w:asciiTheme="minorHAnsi" w:hAnsiTheme="minorHAnsi" w:cstheme="minorHAnsi"/>
          <w:b/>
          <w:bCs/>
          <w:color w:val="000000"/>
          <w:lang w:val="fr-FR"/>
        </w:rPr>
      </w:pPr>
      <w:r w:rsidRPr="008A197B">
        <w:rPr>
          <w:rFonts w:asciiTheme="minorHAnsi" w:hAnsiTheme="minorHAnsi" w:cstheme="minorHAnsi"/>
          <w:b/>
          <w:bCs/>
          <w:color w:val="000000"/>
          <w:lang w:val="fr-FR"/>
        </w:rPr>
        <w:t>SUPPLEMENTAL NON-IFRS FINANCIAL INFORMATION</w:t>
      </w:r>
    </w:p>
    <w:p w14:paraId="176CC862" w14:textId="77777777" w:rsidR="0044035E" w:rsidRPr="008A197B" w:rsidRDefault="0044035E" w:rsidP="0044035E">
      <w:pPr>
        <w:autoSpaceDE w:val="0"/>
        <w:autoSpaceDN w:val="0"/>
        <w:adjustRightInd w:val="0"/>
        <w:ind w:right="-113"/>
        <w:jc w:val="center"/>
        <w:rPr>
          <w:rFonts w:asciiTheme="minorHAnsi" w:hAnsiTheme="minorHAnsi" w:cstheme="minorHAnsi"/>
          <w:b/>
          <w:bCs/>
          <w:color w:val="000000"/>
          <w:lang w:val="fr-FR"/>
        </w:rPr>
      </w:pPr>
      <w:r w:rsidRPr="008A197B">
        <w:rPr>
          <w:rFonts w:asciiTheme="minorHAnsi" w:hAnsiTheme="minorHAnsi" w:cstheme="minorHAnsi"/>
          <w:b/>
          <w:bCs/>
          <w:color w:val="000000"/>
          <w:lang w:val="fr-FR"/>
        </w:rPr>
        <w:t>IFRS – NON-IFRS RECONCILIATION</w:t>
      </w:r>
    </w:p>
    <w:p w14:paraId="43500515" w14:textId="77777777" w:rsidR="0044035E" w:rsidRPr="00CA4A72" w:rsidRDefault="0044035E" w:rsidP="0044035E">
      <w:pPr>
        <w:ind w:right="-113"/>
        <w:jc w:val="center"/>
        <w:rPr>
          <w:rFonts w:asciiTheme="minorHAnsi" w:hAnsiTheme="minorHAnsi" w:cstheme="minorHAnsi"/>
          <w:sz w:val="20"/>
          <w:szCs w:val="20"/>
        </w:rPr>
      </w:pPr>
      <w:r w:rsidRPr="00CA4A72">
        <w:rPr>
          <w:rFonts w:asciiTheme="minorHAnsi" w:hAnsiTheme="minorHAnsi" w:cstheme="minorHAnsi"/>
          <w:sz w:val="20"/>
          <w:szCs w:val="20"/>
        </w:rPr>
        <w:t>(</w:t>
      </w:r>
      <w:proofErr w:type="gramStart"/>
      <w:r w:rsidRPr="00CA4A72">
        <w:rPr>
          <w:rFonts w:asciiTheme="minorHAnsi" w:hAnsiTheme="minorHAnsi" w:cstheme="minorHAnsi"/>
          <w:sz w:val="20"/>
          <w:szCs w:val="20"/>
        </w:rPr>
        <w:t>unaudited</w:t>
      </w:r>
      <w:proofErr w:type="gramEnd"/>
      <w:r w:rsidRPr="00CA4A72">
        <w:rPr>
          <w:rFonts w:asciiTheme="minorHAnsi" w:hAnsiTheme="minorHAnsi" w:cstheme="minorHAnsi"/>
          <w:sz w:val="20"/>
          <w:szCs w:val="20"/>
        </w:rPr>
        <w:t>; in millions of Euros, except per share data and percentages)</w:t>
      </w:r>
    </w:p>
    <w:p w14:paraId="6FDFDA48" w14:textId="77777777" w:rsidR="0044035E" w:rsidRPr="00CA4A72" w:rsidRDefault="0044035E" w:rsidP="0044035E">
      <w:pPr>
        <w:ind w:right="-113"/>
        <w:jc w:val="both"/>
        <w:rPr>
          <w:rFonts w:asciiTheme="minorHAnsi" w:hAnsiTheme="minorHAnsi" w:cstheme="minorHAnsi"/>
          <w:sz w:val="16"/>
          <w:szCs w:val="16"/>
        </w:rPr>
      </w:pPr>
    </w:p>
    <w:p w14:paraId="79C5EC52" w14:textId="77777777" w:rsidR="0044035E" w:rsidRPr="00CA4A72" w:rsidRDefault="0044035E" w:rsidP="0044035E">
      <w:pPr>
        <w:ind w:right="-113"/>
        <w:jc w:val="both"/>
        <w:rPr>
          <w:rFonts w:asciiTheme="minorHAnsi" w:eastAsia="Times New Roman" w:hAnsiTheme="minorHAnsi" w:cstheme="minorHAnsi"/>
          <w:sz w:val="16"/>
          <w:szCs w:val="16"/>
        </w:rPr>
      </w:pPr>
      <w:r w:rsidRPr="00CA4A72">
        <w:rPr>
          <w:rFonts w:asciiTheme="minorHAnsi" w:hAnsiTheme="minorHAnsi" w:cstheme="minorHAnsi"/>
          <w:sz w:val="16"/>
          <w:szCs w:val="16"/>
        </w:rPr>
        <w:t xml:space="preserve">Readers </w:t>
      </w:r>
      <w:proofErr w:type="gramStart"/>
      <w:r w:rsidRPr="00CA4A72">
        <w:rPr>
          <w:rFonts w:asciiTheme="minorHAnsi" w:hAnsiTheme="minorHAnsi" w:cstheme="minorHAnsi"/>
          <w:sz w:val="16"/>
          <w:szCs w:val="16"/>
        </w:rPr>
        <w:t>are cautioned</w:t>
      </w:r>
      <w:proofErr w:type="gramEnd"/>
      <w:r w:rsidRPr="00CA4A72">
        <w:rPr>
          <w:rFonts w:asciiTheme="minorHAnsi" w:hAnsiTheme="minorHAnsi" w:cstheme="minorHAnsi"/>
          <w:sz w:val="16"/>
          <w:szCs w:val="16"/>
        </w:rPr>
        <w:t xml:space="preserve"> that the supplemental non-IFRS information presented in this press release is subject to inherent limitations. It </w:t>
      </w:r>
      <w:proofErr w:type="gramStart"/>
      <w:r w:rsidRPr="00CA4A72">
        <w:rPr>
          <w:rFonts w:asciiTheme="minorHAnsi" w:hAnsiTheme="minorHAnsi" w:cstheme="minorHAnsi"/>
          <w:sz w:val="16"/>
          <w:szCs w:val="16"/>
        </w:rPr>
        <w:t>is not based</w:t>
      </w:r>
      <w:proofErr w:type="gramEnd"/>
      <w:r w:rsidRPr="00CA4A72">
        <w:rPr>
          <w:rFonts w:asciiTheme="minorHAnsi" w:hAnsiTheme="minorHAnsi" w:cstheme="minorHAnsi"/>
          <w:sz w:val="16"/>
          <w:szCs w:val="16"/>
        </w:rPr>
        <w:t xml:space="preserve"> on any comprehensive set of accounting rules or principles and should not be considered as a substitute for IFRS measurements. </w:t>
      </w:r>
      <w:proofErr w:type="gramStart"/>
      <w:r w:rsidRPr="00CA4A72">
        <w:rPr>
          <w:rFonts w:asciiTheme="minorHAnsi" w:hAnsiTheme="minorHAnsi" w:cstheme="minorHAnsi"/>
          <w:sz w:val="16"/>
          <w:szCs w:val="16"/>
        </w:rPr>
        <w:t>Also</w:t>
      </w:r>
      <w:proofErr w:type="gramEnd"/>
      <w:r w:rsidRPr="00CA4A72">
        <w:rPr>
          <w:rFonts w:asciiTheme="minorHAnsi" w:hAnsiTheme="minorHAnsi" w:cstheme="minorHAnsi"/>
          <w:sz w:val="16"/>
          <w:szCs w:val="16"/>
        </w:rPr>
        <w:t xml:space="preserve">, the Group’s supplemental non-IFRS financial information may not be comparable to similarly titled non-IFRS measures used by other companies. Further specific limitations for individual non-IFRS measures, and the reasons for presenting non-IFRS financial information, are set forth in the Group’s </w:t>
      </w:r>
      <w:r w:rsidRPr="00CA4A72">
        <w:rPr>
          <w:rFonts w:asciiTheme="minorHAnsi" w:hAnsiTheme="minorHAnsi" w:cstheme="minorHAnsi"/>
          <w:i/>
          <w:iCs/>
          <w:sz w:val="16"/>
          <w:szCs w:val="16"/>
        </w:rPr>
        <w:t xml:space="preserve">Document </w:t>
      </w:r>
      <w:proofErr w:type="spellStart"/>
      <w:r w:rsidRPr="00CA4A72">
        <w:rPr>
          <w:rFonts w:asciiTheme="minorHAnsi" w:hAnsiTheme="minorHAnsi" w:cstheme="minorHAnsi"/>
          <w:i/>
          <w:iCs/>
          <w:sz w:val="16"/>
          <w:szCs w:val="16"/>
        </w:rPr>
        <w:t>d’Enregistrement</w:t>
      </w:r>
      <w:proofErr w:type="spellEnd"/>
      <w:r w:rsidRPr="00CA4A72">
        <w:rPr>
          <w:rFonts w:asciiTheme="minorHAnsi" w:hAnsiTheme="minorHAnsi" w:cstheme="minorHAnsi"/>
          <w:i/>
          <w:iCs/>
          <w:sz w:val="16"/>
          <w:szCs w:val="16"/>
        </w:rPr>
        <w:t xml:space="preserve"> </w:t>
      </w:r>
      <w:proofErr w:type="spellStart"/>
      <w:r w:rsidRPr="00CA4A72">
        <w:rPr>
          <w:rFonts w:asciiTheme="minorHAnsi" w:hAnsiTheme="minorHAnsi" w:cstheme="minorHAnsi"/>
          <w:i/>
          <w:iCs/>
          <w:sz w:val="16"/>
          <w:szCs w:val="16"/>
        </w:rPr>
        <w:t>Universel</w:t>
      </w:r>
      <w:proofErr w:type="spellEnd"/>
      <w:r w:rsidRPr="00CA4A72">
        <w:rPr>
          <w:rFonts w:asciiTheme="minorHAnsi" w:hAnsiTheme="minorHAnsi" w:cstheme="minorHAnsi"/>
          <w:i/>
          <w:iCs/>
          <w:sz w:val="16"/>
          <w:szCs w:val="16"/>
        </w:rPr>
        <w:t xml:space="preserve"> </w:t>
      </w:r>
      <w:r w:rsidRPr="00CA4A72">
        <w:rPr>
          <w:rFonts w:asciiTheme="minorHAnsi" w:hAnsiTheme="minorHAnsi" w:cstheme="minorHAnsi"/>
          <w:sz w:val="16"/>
          <w:szCs w:val="16"/>
        </w:rPr>
        <w:t xml:space="preserve">for the year ended December 31, 2019 filed with </w:t>
      </w:r>
      <w:r w:rsidRPr="00F30606">
        <w:rPr>
          <w:rFonts w:asciiTheme="minorHAnsi" w:hAnsiTheme="minorHAnsi" w:cstheme="minorHAnsi"/>
          <w:sz w:val="16"/>
          <w:szCs w:val="16"/>
        </w:rPr>
        <w:t>the AMF on March 19, 2020. To</w:t>
      </w:r>
      <w:r w:rsidRPr="00CA4A72">
        <w:rPr>
          <w:rFonts w:asciiTheme="minorHAnsi" w:hAnsiTheme="minorHAnsi" w:cstheme="minorHAnsi"/>
          <w:sz w:val="16"/>
          <w:szCs w:val="16"/>
        </w:rPr>
        <w:t xml:space="preserve"> compensate for these limitations, the supplemental non-IFRS financial information should be read not in isolation, but only in conjunction with the </w:t>
      </w:r>
      <w:proofErr w:type="gramStart"/>
      <w:r w:rsidRPr="00CA4A72">
        <w:rPr>
          <w:rFonts w:asciiTheme="minorHAnsi" w:hAnsiTheme="minorHAnsi" w:cstheme="minorHAnsi"/>
          <w:sz w:val="16"/>
          <w:szCs w:val="16"/>
        </w:rPr>
        <w:t>Group’s</w:t>
      </w:r>
      <w:proofErr w:type="gramEnd"/>
      <w:r w:rsidRPr="00CA4A72">
        <w:rPr>
          <w:rFonts w:asciiTheme="minorHAnsi" w:hAnsiTheme="minorHAnsi" w:cstheme="minorHAnsi"/>
          <w:sz w:val="16"/>
          <w:szCs w:val="16"/>
        </w:rPr>
        <w:t xml:space="preserve"> consolidated financial statements prepared in accordance with IFRS. </w:t>
      </w:r>
    </w:p>
    <w:tbl>
      <w:tblPr>
        <w:tblW w:w="962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01"/>
        <w:gridCol w:w="775"/>
        <w:gridCol w:w="992"/>
        <w:gridCol w:w="851"/>
        <w:gridCol w:w="900"/>
        <w:gridCol w:w="895"/>
        <w:gridCol w:w="898"/>
        <w:gridCol w:w="714"/>
        <w:gridCol w:w="703"/>
      </w:tblGrid>
      <w:tr w:rsidR="0044035E" w:rsidRPr="00CA4A72" w14:paraId="741F0AEF" w14:textId="77777777" w:rsidTr="006A1A41">
        <w:trPr>
          <w:trHeight w:val="227"/>
        </w:trPr>
        <w:tc>
          <w:tcPr>
            <w:tcW w:w="2901" w:type="dxa"/>
            <w:vMerge w:val="restart"/>
            <w:tcBorders>
              <w:top w:val="single" w:sz="4" w:space="0" w:color="auto"/>
              <w:bottom w:val="single" w:sz="4" w:space="0" w:color="auto"/>
              <w:right w:val="single" w:sz="4" w:space="0" w:color="auto"/>
            </w:tcBorders>
            <w:vAlign w:val="center"/>
            <w:hideMark/>
          </w:tcPr>
          <w:p w14:paraId="390802D8" w14:textId="77777777" w:rsidR="0044035E" w:rsidRPr="00CA4A72" w:rsidRDefault="0044035E" w:rsidP="006A1A41">
            <w:pPr>
              <w:spacing w:line="276" w:lineRule="auto"/>
              <w:jc w:val="center"/>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In millions of Euros, except per share data and percentages</w:t>
            </w:r>
          </w:p>
        </w:tc>
        <w:tc>
          <w:tcPr>
            <w:tcW w:w="5311" w:type="dxa"/>
            <w:gridSpan w:val="6"/>
            <w:tcBorders>
              <w:top w:val="single" w:sz="4" w:space="0" w:color="auto"/>
              <w:left w:val="single" w:sz="4" w:space="0" w:color="auto"/>
              <w:bottom w:val="single" w:sz="4" w:space="0" w:color="auto"/>
              <w:right w:val="single" w:sz="4" w:space="0" w:color="auto"/>
            </w:tcBorders>
            <w:vAlign w:val="center"/>
            <w:hideMark/>
          </w:tcPr>
          <w:p w14:paraId="0361F875" w14:textId="77777777" w:rsidR="0044035E" w:rsidRPr="00CA4A72" w:rsidRDefault="0044035E" w:rsidP="006A1A41">
            <w:pPr>
              <w:spacing w:line="276" w:lineRule="auto"/>
              <w:jc w:val="center"/>
              <w:rPr>
                <w:rFonts w:asciiTheme="minorHAnsi" w:eastAsia="Times New Roman" w:hAnsiTheme="minorHAnsi" w:cstheme="minorHAnsi"/>
                <w:b/>
                <w:bCs/>
                <w:sz w:val="12"/>
                <w:szCs w:val="12"/>
                <w:highlight w:val="green"/>
                <w:lang w:eastAsia="en-GB"/>
              </w:rPr>
            </w:pPr>
            <w:r>
              <w:rPr>
                <w:rFonts w:asciiTheme="minorHAnsi" w:eastAsia="Times New Roman" w:hAnsiTheme="minorHAnsi" w:cstheme="minorHAnsi"/>
                <w:b/>
                <w:bCs/>
                <w:sz w:val="12"/>
                <w:szCs w:val="12"/>
                <w:lang w:eastAsia="en-GB"/>
              </w:rPr>
              <w:t>Six</w:t>
            </w:r>
            <w:r w:rsidRPr="00F30606">
              <w:rPr>
                <w:rFonts w:asciiTheme="minorHAnsi" w:eastAsia="Times New Roman" w:hAnsiTheme="minorHAnsi" w:cstheme="minorHAnsi"/>
                <w:b/>
                <w:bCs/>
                <w:sz w:val="12"/>
                <w:szCs w:val="12"/>
                <w:lang w:eastAsia="en-GB"/>
              </w:rPr>
              <w:t xml:space="preserve"> months ended June</w:t>
            </w:r>
            <w:r>
              <w:rPr>
                <w:rFonts w:asciiTheme="minorHAnsi" w:eastAsia="Times New Roman" w:hAnsiTheme="minorHAnsi" w:cstheme="minorHAnsi"/>
                <w:b/>
                <w:bCs/>
                <w:sz w:val="12"/>
                <w:szCs w:val="12"/>
                <w:lang w:eastAsia="en-GB"/>
              </w:rPr>
              <w:t xml:space="preserve"> 30</w:t>
            </w:r>
            <w:r w:rsidRPr="00CA4A72">
              <w:rPr>
                <w:rFonts w:asciiTheme="minorHAnsi" w:eastAsia="Times New Roman" w:hAnsiTheme="minorHAnsi" w:cstheme="minorHAnsi"/>
                <w:b/>
                <w:bCs/>
                <w:sz w:val="12"/>
                <w:szCs w:val="12"/>
                <w:lang w:eastAsia="en-GB"/>
              </w:rPr>
              <w:t>,</w:t>
            </w:r>
          </w:p>
        </w:tc>
        <w:tc>
          <w:tcPr>
            <w:tcW w:w="1417" w:type="dxa"/>
            <w:gridSpan w:val="2"/>
            <w:tcBorders>
              <w:top w:val="single" w:sz="4" w:space="0" w:color="auto"/>
              <w:left w:val="single" w:sz="4" w:space="0" w:color="auto"/>
              <w:bottom w:val="single" w:sz="4" w:space="0" w:color="auto"/>
            </w:tcBorders>
            <w:vAlign w:val="center"/>
            <w:hideMark/>
          </w:tcPr>
          <w:p w14:paraId="608547C4"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r w:rsidRPr="00CA4A72">
              <w:rPr>
                <w:rFonts w:asciiTheme="minorHAnsi" w:eastAsia="Times New Roman" w:hAnsiTheme="minorHAnsi" w:cstheme="minorHAnsi"/>
                <w:b/>
                <w:bCs/>
                <w:sz w:val="12"/>
                <w:szCs w:val="12"/>
                <w:lang w:eastAsia="en-GB"/>
              </w:rPr>
              <w:t>Change</w:t>
            </w:r>
          </w:p>
        </w:tc>
      </w:tr>
      <w:tr w:rsidR="0044035E" w:rsidRPr="00CA4A72" w14:paraId="78E82C81" w14:textId="77777777" w:rsidTr="006A1A41">
        <w:trPr>
          <w:trHeight w:val="170"/>
        </w:trPr>
        <w:tc>
          <w:tcPr>
            <w:tcW w:w="2901" w:type="dxa"/>
            <w:vMerge/>
            <w:tcBorders>
              <w:top w:val="nil"/>
              <w:bottom w:val="single" w:sz="4" w:space="0" w:color="auto"/>
              <w:right w:val="single" w:sz="4" w:space="0" w:color="auto"/>
            </w:tcBorders>
            <w:vAlign w:val="center"/>
            <w:hideMark/>
          </w:tcPr>
          <w:p w14:paraId="65F35FC5"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p>
        </w:tc>
        <w:tc>
          <w:tcPr>
            <w:tcW w:w="775" w:type="dxa"/>
            <w:tcBorders>
              <w:top w:val="single" w:sz="4" w:space="0" w:color="auto"/>
              <w:left w:val="single" w:sz="4" w:space="0" w:color="auto"/>
              <w:bottom w:val="nil"/>
            </w:tcBorders>
            <w:vAlign w:val="bottom"/>
            <w:hideMark/>
          </w:tcPr>
          <w:p w14:paraId="44ADE69A"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r w:rsidRPr="00CA4A72">
              <w:rPr>
                <w:rFonts w:asciiTheme="minorHAnsi" w:eastAsia="Times New Roman" w:hAnsiTheme="minorHAnsi" w:cstheme="minorHAnsi"/>
                <w:b/>
                <w:bCs/>
                <w:sz w:val="12"/>
                <w:szCs w:val="12"/>
                <w:lang w:eastAsia="en-GB"/>
              </w:rPr>
              <w:t>2020</w:t>
            </w:r>
          </w:p>
        </w:tc>
        <w:tc>
          <w:tcPr>
            <w:tcW w:w="992" w:type="dxa"/>
            <w:vMerge w:val="restart"/>
            <w:tcBorders>
              <w:top w:val="single" w:sz="4" w:space="0" w:color="auto"/>
              <w:bottom w:val="nil"/>
            </w:tcBorders>
            <w:vAlign w:val="center"/>
            <w:hideMark/>
          </w:tcPr>
          <w:p w14:paraId="5E747A36"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r w:rsidRPr="00CA4A72">
              <w:rPr>
                <w:rFonts w:asciiTheme="minorHAnsi" w:eastAsia="Times New Roman" w:hAnsiTheme="minorHAnsi" w:cstheme="minorHAnsi"/>
                <w:b/>
                <w:bCs/>
                <w:sz w:val="12"/>
                <w:szCs w:val="12"/>
                <w:lang w:eastAsia="en-GB"/>
              </w:rPr>
              <w:t>Adjustment</w:t>
            </w:r>
            <w:r w:rsidRPr="00CA4A72">
              <w:rPr>
                <w:rFonts w:asciiTheme="minorHAnsi" w:eastAsia="Times New Roman" w:hAnsiTheme="minorHAnsi" w:cstheme="minorHAnsi"/>
                <w:b/>
                <w:bCs/>
                <w:sz w:val="12"/>
                <w:szCs w:val="12"/>
                <w:vertAlign w:val="superscript"/>
                <w:lang w:eastAsia="en-GB"/>
              </w:rPr>
              <w:t>(1)</w:t>
            </w:r>
          </w:p>
        </w:tc>
        <w:tc>
          <w:tcPr>
            <w:tcW w:w="851" w:type="dxa"/>
            <w:tcBorders>
              <w:top w:val="single" w:sz="4" w:space="0" w:color="auto"/>
              <w:bottom w:val="nil"/>
              <w:right w:val="single" w:sz="4" w:space="0" w:color="auto"/>
            </w:tcBorders>
            <w:vAlign w:val="bottom"/>
            <w:hideMark/>
          </w:tcPr>
          <w:p w14:paraId="35814268"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r>
              <w:rPr>
                <w:rFonts w:asciiTheme="minorHAnsi" w:eastAsia="Times New Roman" w:hAnsiTheme="minorHAnsi" w:cstheme="minorHAnsi"/>
                <w:b/>
                <w:bCs/>
                <w:sz w:val="12"/>
                <w:szCs w:val="12"/>
                <w:lang w:eastAsia="en-GB"/>
              </w:rPr>
              <w:t>2020</w:t>
            </w:r>
          </w:p>
        </w:tc>
        <w:tc>
          <w:tcPr>
            <w:tcW w:w="900" w:type="dxa"/>
            <w:tcBorders>
              <w:top w:val="single" w:sz="4" w:space="0" w:color="auto"/>
              <w:left w:val="single" w:sz="4" w:space="0" w:color="auto"/>
              <w:bottom w:val="nil"/>
            </w:tcBorders>
            <w:vAlign w:val="bottom"/>
            <w:hideMark/>
          </w:tcPr>
          <w:p w14:paraId="3ADD72FD"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r>
              <w:rPr>
                <w:rFonts w:asciiTheme="minorHAnsi" w:eastAsia="Times New Roman" w:hAnsiTheme="minorHAnsi" w:cstheme="minorHAnsi"/>
                <w:b/>
                <w:bCs/>
                <w:sz w:val="12"/>
                <w:szCs w:val="12"/>
                <w:lang w:eastAsia="en-GB"/>
              </w:rPr>
              <w:t>2019</w:t>
            </w:r>
          </w:p>
        </w:tc>
        <w:tc>
          <w:tcPr>
            <w:tcW w:w="0" w:type="auto"/>
            <w:vMerge w:val="restart"/>
            <w:tcBorders>
              <w:top w:val="single" w:sz="4" w:space="0" w:color="auto"/>
              <w:bottom w:val="nil"/>
            </w:tcBorders>
            <w:vAlign w:val="center"/>
            <w:hideMark/>
          </w:tcPr>
          <w:p w14:paraId="5C911A44"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r w:rsidRPr="00CA4A72">
              <w:rPr>
                <w:rFonts w:asciiTheme="minorHAnsi" w:eastAsia="Times New Roman" w:hAnsiTheme="minorHAnsi" w:cstheme="minorHAnsi"/>
                <w:b/>
                <w:bCs/>
                <w:sz w:val="12"/>
                <w:szCs w:val="12"/>
                <w:lang w:eastAsia="en-GB"/>
              </w:rPr>
              <w:t>Adjustment</w:t>
            </w:r>
            <w:r w:rsidRPr="00CA4A72">
              <w:rPr>
                <w:rFonts w:asciiTheme="minorHAnsi" w:eastAsia="Times New Roman" w:hAnsiTheme="minorHAnsi" w:cstheme="minorHAnsi"/>
                <w:b/>
                <w:bCs/>
                <w:sz w:val="12"/>
                <w:szCs w:val="12"/>
                <w:vertAlign w:val="superscript"/>
                <w:lang w:eastAsia="en-GB"/>
              </w:rPr>
              <w:t>(1)</w:t>
            </w:r>
          </w:p>
        </w:tc>
        <w:tc>
          <w:tcPr>
            <w:tcW w:w="898" w:type="dxa"/>
            <w:tcBorders>
              <w:top w:val="single" w:sz="4" w:space="0" w:color="auto"/>
              <w:bottom w:val="nil"/>
              <w:right w:val="single" w:sz="4" w:space="0" w:color="auto"/>
            </w:tcBorders>
            <w:vAlign w:val="bottom"/>
            <w:hideMark/>
          </w:tcPr>
          <w:p w14:paraId="45A9920C"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r w:rsidRPr="00CA4A72">
              <w:rPr>
                <w:rFonts w:asciiTheme="minorHAnsi" w:eastAsia="Times New Roman" w:hAnsiTheme="minorHAnsi" w:cstheme="minorHAnsi"/>
                <w:b/>
                <w:bCs/>
                <w:sz w:val="12"/>
                <w:szCs w:val="12"/>
                <w:lang w:eastAsia="en-GB"/>
              </w:rPr>
              <w:t>2019</w:t>
            </w:r>
          </w:p>
        </w:tc>
        <w:tc>
          <w:tcPr>
            <w:tcW w:w="714" w:type="dxa"/>
            <w:vMerge w:val="restart"/>
            <w:tcBorders>
              <w:top w:val="single" w:sz="4" w:space="0" w:color="auto"/>
              <w:left w:val="single" w:sz="4" w:space="0" w:color="auto"/>
              <w:bottom w:val="nil"/>
            </w:tcBorders>
            <w:vAlign w:val="center"/>
            <w:hideMark/>
          </w:tcPr>
          <w:p w14:paraId="1554AD0E"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r w:rsidRPr="00CA4A72">
              <w:rPr>
                <w:rFonts w:asciiTheme="minorHAnsi" w:eastAsia="Times New Roman" w:hAnsiTheme="minorHAnsi" w:cstheme="minorHAnsi"/>
                <w:b/>
                <w:bCs/>
                <w:sz w:val="12"/>
                <w:szCs w:val="12"/>
                <w:lang w:eastAsia="en-GB"/>
              </w:rPr>
              <w:t>IFRS</w:t>
            </w:r>
          </w:p>
        </w:tc>
        <w:tc>
          <w:tcPr>
            <w:tcW w:w="703" w:type="dxa"/>
            <w:vMerge w:val="restart"/>
            <w:tcBorders>
              <w:top w:val="single" w:sz="4" w:space="0" w:color="auto"/>
              <w:bottom w:val="nil"/>
            </w:tcBorders>
            <w:vAlign w:val="center"/>
            <w:hideMark/>
          </w:tcPr>
          <w:p w14:paraId="6C7FABA1"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r w:rsidRPr="00CA4A72">
              <w:rPr>
                <w:rFonts w:asciiTheme="minorHAnsi" w:eastAsia="Times New Roman" w:hAnsiTheme="minorHAnsi" w:cstheme="minorHAnsi"/>
                <w:b/>
                <w:bCs/>
                <w:sz w:val="12"/>
                <w:szCs w:val="12"/>
                <w:lang w:eastAsia="en-GB"/>
              </w:rPr>
              <w:t>Non-IFRS</w:t>
            </w:r>
            <w:r w:rsidRPr="00CA4A72">
              <w:rPr>
                <w:rFonts w:asciiTheme="minorHAnsi" w:eastAsia="Times New Roman" w:hAnsiTheme="minorHAnsi" w:cstheme="minorHAnsi"/>
                <w:b/>
                <w:bCs/>
                <w:sz w:val="12"/>
                <w:szCs w:val="12"/>
                <w:vertAlign w:val="superscript"/>
                <w:lang w:eastAsia="en-GB"/>
              </w:rPr>
              <w:t>(</w:t>
            </w:r>
            <w:r>
              <w:rPr>
                <w:rFonts w:asciiTheme="minorHAnsi" w:eastAsia="Times New Roman" w:hAnsiTheme="minorHAnsi" w:cstheme="minorHAnsi"/>
                <w:b/>
                <w:bCs/>
                <w:sz w:val="12"/>
                <w:szCs w:val="12"/>
                <w:vertAlign w:val="superscript"/>
                <w:lang w:eastAsia="en-GB"/>
              </w:rPr>
              <w:t>4</w:t>
            </w:r>
            <w:r w:rsidRPr="00CA4A72">
              <w:rPr>
                <w:rFonts w:asciiTheme="minorHAnsi" w:eastAsia="Times New Roman" w:hAnsiTheme="minorHAnsi" w:cstheme="minorHAnsi"/>
                <w:b/>
                <w:bCs/>
                <w:sz w:val="12"/>
                <w:szCs w:val="12"/>
                <w:vertAlign w:val="superscript"/>
                <w:lang w:eastAsia="en-GB"/>
              </w:rPr>
              <w:t>)</w:t>
            </w:r>
          </w:p>
        </w:tc>
      </w:tr>
      <w:tr w:rsidR="0044035E" w:rsidRPr="00CA4A72" w14:paraId="79450DBB" w14:textId="77777777" w:rsidTr="006A1A41">
        <w:trPr>
          <w:trHeight w:val="170"/>
        </w:trPr>
        <w:tc>
          <w:tcPr>
            <w:tcW w:w="2901" w:type="dxa"/>
            <w:vMerge/>
            <w:tcBorders>
              <w:top w:val="nil"/>
              <w:bottom w:val="single" w:sz="4" w:space="0" w:color="auto"/>
              <w:right w:val="single" w:sz="4" w:space="0" w:color="auto"/>
            </w:tcBorders>
            <w:vAlign w:val="center"/>
            <w:hideMark/>
          </w:tcPr>
          <w:p w14:paraId="7E005C27"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p>
        </w:tc>
        <w:tc>
          <w:tcPr>
            <w:tcW w:w="775" w:type="dxa"/>
            <w:tcBorders>
              <w:top w:val="nil"/>
              <w:left w:val="single" w:sz="4" w:space="0" w:color="auto"/>
              <w:bottom w:val="single" w:sz="4" w:space="0" w:color="auto"/>
            </w:tcBorders>
            <w:hideMark/>
          </w:tcPr>
          <w:p w14:paraId="6EDC37C8"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r w:rsidRPr="00CA4A72">
              <w:rPr>
                <w:rFonts w:asciiTheme="minorHAnsi" w:eastAsia="Times New Roman" w:hAnsiTheme="minorHAnsi" w:cstheme="minorHAnsi"/>
                <w:b/>
                <w:bCs/>
                <w:sz w:val="12"/>
                <w:szCs w:val="12"/>
                <w:lang w:eastAsia="en-GB"/>
              </w:rPr>
              <w:t>IFRS</w:t>
            </w:r>
          </w:p>
        </w:tc>
        <w:tc>
          <w:tcPr>
            <w:tcW w:w="992" w:type="dxa"/>
            <w:vMerge/>
            <w:tcBorders>
              <w:top w:val="nil"/>
              <w:bottom w:val="single" w:sz="4" w:space="0" w:color="auto"/>
            </w:tcBorders>
            <w:vAlign w:val="center"/>
            <w:hideMark/>
          </w:tcPr>
          <w:p w14:paraId="1154D7FD" w14:textId="77777777" w:rsidR="0044035E" w:rsidRPr="00CA4A72" w:rsidRDefault="0044035E" w:rsidP="006A1A41">
            <w:pPr>
              <w:spacing w:line="276" w:lineRule="auto"/>
              <w:rPr>
                <w:rFonts w:asciiTheme="minorHAnsi" w:eastAsia="Times New Roman" w:hAnsiTheme="minorHAnsi" w:cstheme="minorHAnsi"/>
                <w:b/>
                <w:bCs/>
                <w:sz w:val="12"/>
                <w:szCs w:val="12"/>
                <w:lang w:eastAsia="en-GB"/>
              </w:rPr>
            </w:pPr>
          </w:p>
        </w:tc>
        <w:tc>
          <w:tcPr>
            <w:tcW w:w="851" w:type="dxa"/>
            <w:tcBorders>
              <w:top w:val="nil"/>
              <w:bottom w:val="single" w:sz="4" w:space="0" w:color="auto"/>
              <w:right w:val="single" w:sz="4" w:space="0" w:color="auto"/>
            </w:tcBorders>
            <w:hideMark/>
          </w:tcPr>
          <w:p w14:paraId="7EEEC0C6"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r w:rsidRPr="00CA4A72">
              <w:rPr>
                <w:rFonts w:asciiTheme="minorHAnsi" w:eastAsia="Times New Roman" w:hAnsiTheme="minorHAnsi" w:cstheme="minorHAnsi"/>
                <w:b/>
                <w:bCs/>
                <w:sz w:val="12"/>
                <w:szCs w:val="12"/>
                <w:lang w:eastAsia="en-GB"/>
              </w:rPr>
              <w:t>Non-IFRS</w:t>
            </w:r>
          </w:p>
        </w:tc>
        <w:tc>
          <w:tcPr>
            <w:tcW w:w="900" w:type="dxa"/>
            <w:tcBorders>
              <w:top w:val="nil"/>
              <w:left w:val="single" w:sz="4" w:space="0" w:color="auto"/>
              <w:bottom w:val="single" w:sz="4" w:space="0" w:color="auto"/>
            </w:tcBorders>
            <w:hideMark/>
          </w:tcPr>
          <w:p w14:paraId="28667127"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r w:rsidRPr="00CA4A72">
              <w:rPr>
                <w:rFonts w:asciiTheme="minorHAnsi" w:eastAsia="Times New Roman" w:hAnsiTheme="minorHAnsi" w:cstheme="minorHAnsi"/>
                <w:b/>
                <w:bCs/>
                <w:sz w:val="12"/>
                <w:szCs w:val="12"/>
                <w:lang w:eastAsia="en-GB"/>
              </w:rPr>
              <w:t>IFRS</w:t>
            </w:r>
          </w:p>
        </w:tc>
        <w:tc>
          <w:tcPr>
            <w:tcW w:w="0" w:type="auto"/>
            <w:vMerge/>
            <w:tcBorders>
              <w:top w:val="nil"/>
              <w:bottom w:val="single" w:sz="4" w:space="0" w:color="auto"/>
            </w:tcBorders>
            <w:vAlign w:val="center"/>
            <w:hideMark/>
          </w:tcPr>
          <w:p w14:paraId="7D0FBD81" w14:textId="77777777" w:rsidR="0044035E" w:rsidRPr="00CA4A72" w:rsidRDefault="0044035E" w:rsidP="006A1A41">
            <w:pPr>
              <w:spacing w:line="276" w:lineRule="auto"/>
              <w:rPr>
                <w:rFonts w:asciiTheme="minorHAnsi" w:eastAsia="Times New Roman" w:hAnsiTheme="minorHAnsi" w:cstheme="minorHAnsi"/>
                <w:b/>
                <w:bCs/>
                <w:sz w:val="12"/>
                <w:szCs w:val="12"/>
                <w:lang w:eastAsia="en-GB"/>
              </w:rPr>
            </w:pPr>
          </w:p>
        </w:tc>
        <w:tc>
          <w:tcPr>
            <w:tcW w:w="898" w:type="dxa"/>
            <w:tcBorders>
              <w:top w:val="nil"/>
              <w:bottom w:val="single" w:sz="4" w:space="0" w:color="auto"/>
              <w:right w:val="single" w:sz="4" w:space="0" w:color="auto"/>
            </w:tcBorders>
            <w:hideMark/>
          </w:tcPr>
          <w:p w14:paraId="5FE603FC" w14:textId="77777777" w:rsidR="0044035E" w:rsidRPr="00CA4A72" w:rsidRDefault="0044035E" w:rsidP="006A1A41">
            <w:pPr>
              <w:spacing w:line="276" w:lineRule="auto"/>
              <w:jc w:val="center"/>
              <w:rPr>
                <w:rFonts w:asciiTheme="minorHAnsi" w:eastAsia="Times New Roman" w:hAnsiTheme="minorHAnsi" w:cstheme="minorHAnsi"/>
                <w:b/>
                <w:bCs/>
                <w:sz w:val="12"/>
                <w:szCs w:val="12"/>
                <w:lang w:eastAsia="en-GB"/>
              </w:rPr>
            </w:pPr>
            <w:r w:rsidRPr="00CA4A72">
              <w:rPr>
                <w:rFonts w:asciiTheme="minorHAnsi" w:eastAsia="Times New Roman" w:hAnsiTheme="minorHAnsi" w:cstheme="minorHAnsi"/>
                <w:b/>
                <w:bCs/>
                <w:sz w:val="12"/>
                <w:szCs w:val="12"/>
                <w:lang w:eastAsia="en-GB"/>
              </w:rPr>
              <w:t>Non-IFRS</w:t>
            </w:r>
          </w:p>
        </w:tc>
        <w:tc>
          <w:tcPr>
            <w:tcW w:w="714" w:type="dxa"/>
            <w:vMerge/>
            <w:tcBorders>
              <w:top w:val="nil"/>
              <w:left w:val="single" w:sz="4" w:space="0" w:color="auto"/>
              <w:bottom w:val="single" w:sz="4" w:space="0" w:color="auto"/>
            </w:tcBorders>
            <w:vAlign w:val="center"/>
            <w:hideMark/>
          </w:tcPr>
          <w:p w14:paraId="1633B9C9" w14:textId="77777777" w:rsidR="0044035E" w:rsidRPr="00CA4A72" w:rsidRDefault="0044035E" w:rsidP="006A1A41">
            <w:pPr>
              <w:spacing w:line="276" w:lineRule="auto"/>
              <w:rPr>
                <w:rFonts w:asciiTheme="minorHAnsi" w:eastAsia="Times New Roman" w:hAnsiTheme="minorHAnsi" w:cstheme="minorHAnsi"/>
                <w:b/>
                <w:bCs/>
                <w:sz w:val="12"/>
                <w:szCs w:val="12"/>
                <w:lang w:eastAsia="en-GB"/>
              </w:rPr>
            </w:pPr>
          </w:p>
        </w:tc>
        <w:tc>
          <w:tcPr>
            <w:tcW w:w="703" w:type="dxa"/>
            <w:vMerge/>
            <w:tcBorders>
              <w:top w:val="nil"/>
              <w:bottom w:val="single" w:sz="4" w:space="0" w:color="auto"/>
            </w:tcBorders>
            <w:vAlign w:val="center"/>
            <w:hideMark/>
          </w:tcPr>
          <w:p w14:paraId="596B0253" w14:textId="77777777" w:rsidR="0044035E" w:rsidRPr="00CA4A72" w:rsidRDefault="0044035E" w:rsidP="006A1A41">
            <w:pPr>
              <w:spacing w:line="276" w:lineRule="auto"/>
              <w:rPr>
                <w:rFonts w:asciiTheme="minorHAnsi" w:eastAsia="Times New Roman" w:hAnsiTheme="minorHAnsi" w:cstheme="minorHAnsi"/>
                <w:b/>
                <w:bCs/>
                <w:sz w:val="12"/>
                <w:szCs w:val="12"/>
                <w:lang w:eastAsia="en-GB"/>
              </w:rPr>
            </w:pPr>
          </w:p>
        </w:tc>
      </w:tr>
      <w:tr w:rsidR="0044035E" w:rsidRPr="00CA4A72" w14:paraId="227567ED" w14:textId="77777777" w:rsidTr="006A1A41">
        <w:trPr>
          <w:trHeight w:val="170"/>
        </w:trPr>
        <w:tc>
          <w:tcPr>
            <w:tcW w:w="2901" w:type="dxa"/>
            <w:tcBorders>
              <w:top w:val="single" w:sz="4" w:space="0" w:color="auto"/>
              <w:bottom w:val="nil"/>
              <w:right w:val="single" w:sz="4" w:space="0" w:color="auto"/>
            </w:tcBorders>
            <w:vAlign w:val="center"/>
            <w:hideMark/>
          </w:tcPr>
          <w:p w14:paraId="692CA821" w14:textId="77777777" w:rsidR="0044035E" w:rsidRPr="00CA4A72" w:rsidRDefault="0044035E" w:rsidP="006A1A41">
            <w:pPr>
              <w:spacing w:line="276" w:lineRule="auto"/>
              <w:rPr>
                <w:rFonts w:asciiTheme="minorHAnsi" w:eastAsia="Times New Roman" w:hAnsiTheme="minorHAnsi" w:cstheme="minorHAnsi"/>
                <w:b/>
                <w:bCs/>
                <w:sz w:val="12"/>
                <w:szCs w:val="12"/>
                <w:lang w:eastAsia="en-GB"/>
              </w:rPr>
            </w:pPr>
            <w:r w:rsidRPr="00CA4A72">
              <w:rPr>
                <w:rFonts w:asciiTheme="minorHAnsi" w:hAnsiTheme="minorHAnsi" w:cstheme="minorHAnsi"/>
                <w:b/>
                <w:bCs/>
                <w:sz w:val="12"/>
                <w:szCs w:val="12"/>
              </w:rPr>
              <w:t>Total Revenue</w:t>
            </w:r>
          </w:p>
        </w:tc>
        <w:tc>
          <w:tcPr>
            <w:tcW w:w="775" w:type="dxa"/>
            <w:tcBorders>
              <w:top w:val="single" w:sz="4" w:space="0" w:color="auto"/>
              <w:left w:val="single" w:sz="4" w:space="0" w:color="auto"/>
            </w:tcBorders>
            <w:shd w:val="clear" w:color="000000" w:fill="FFFFFF"/>
            <w:noWrap/>
            <w:vAlign w:val="center"/>
          </w:tcPr>
          <w:p w14:paraId="713AFB16" w14:textId="77777777" w:rsidR="0044035E" w:rsidRPr="00A455FD" w:rsidRDefault="0044035E" w:rsidP="006A1A41">
            <w:pPr>
              <w:spacing w:line="276" w:lineRule="auto"/>
              <w:jc w:val="center"/>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€ 2,203.3</w:t>
            </w:r>
          </w:p>
        </w:tc>
        <w:tc>
          <w:tcPr>
            <w:tcW w:w="992" w:type="dxa"/>
            <w:tcBorders>
              <w:top w:val="single" w:sz="4" w:space="0" w:color="auto"/>
            </w:tcBorders>
            <w:shd w:val="clear" w:color="000000" w:fill="FFFFFF"/>
            <w:noWrap/>
            <w:vAlign w:val="center"/>
          </w:tcPr>
          <w:p w14:paraId="7EBF79EB" w14:textId="77777777" w:rsidR="0044035E" w:rsidRPr="00A455FD" w:rsidRDefault="0044035E" w:rsidP="006A1A41">
            <w:pPr>
              <w:spacing w:line="276" w:lineRule="auto"/>
              <w:jc w:val="center"/>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€ 11.6</w:t>
            </w:r>
          </w:p>
        </w:tc>
        <w:tc>
          <w:tcPr>
            <w:tcW w:w="851" w:type="dxa"/>
            <w:tcBorders>
              <w:top w:val="single" w:sz="4" w:space="0" w:color="auto"/>
              <w:right w:val="single" w:sz="4" w:space="0" w:color="auto"/>
            </w:tcBorders>
            <w:shd w:val="clear" w:color="000000" w:fill="FFFFFF"/>
            <w:noWrap/>
            <w:vAlign w:val="center"/>
          </w:tcPr>
          <w:p w14:paraId="12B52130" w14:textId="77777777" w:rsidR="0044035E" w:rsidRPr="00A455FD" w:rsidRDefault="0044035E" w:rsidP="006A1A41">
            <w:pPr>
              <w:spacing w:line="276" w:lineRule="auto"/>
              <w:jc w:val="center"/>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€ 2,215.0</w:t>
            </w:r>
          </w:p>
        </w:tc>
        <w:tc>
          <w:tcPr>
            <w:tcW w:w="900" w:type="dxa"/>
            <w:tcBorders>
              <w:top w:val="single" w:sz="4" w:space="0" w:color="auto"/>
              <w:left w:val="single" w:sz="4" w:space="0" w:color="auto"/>
            </w:tcBorders>
            <w:shd w:val="clear" w:color="000000" w:fill="FFFFFF"/>
            <w:noWrap/>
            <w:vAlign w:val="center"/>
          </w:tcPr>
          <w:p w14:paraId="49C6E8CE" w14:textId="77777777" w:rsidR="0044035E" w:rsidRPr="00A455FD" w:rsidRDefault="0044035E" w:rsidP="006A1A41">
            <w:pPr>
              <w:spacing w:line="276" w:lineRule="auto"/>
              <w:jc w:val="center"/>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€ 1,920.3</w:t>
            </w:r>
          </w:p>
        </w:tc>
        <w:tc>
          <w:tcPr>
            <w:tcW w:w="0" w:type="auto"/>
            <w:tcBorders>
              <w:top w:val="single" w:sz="4" w:space="0" w:color="auto"/>
            </w:tcBorders>
            <w:shd w:val="clear" w:color="000000" w:fill="FFFFFF"/>
            <w:noWrap/>
            <w:vAlign w:val="center"/>
          </w:tcPr>
          <w:p w14:paraId="6EDE13C7" w14:textId="77777777" w:rsidR="0044035E" w:rsidRPr="00A455FD" w:rsidRDefault="0044035E" w:rsidP="006A1A41">
            <w:pPr>
              <w:spacing w:line="276" w:lineRule="auto"/>
              <w:jc w:val="center"/>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€ 9.1</w:t>
            </w:r>
          </w:p>
        </w:tc>
        <w:tc>
          <w:tcPr>
            <w:tcW w:w="898" w:type="dxa"/>
            <w:tcBorders>
              <w:top w:val="single" w:sz="4" w:space="0" w:color="auto"/>
              <w:right w:val="single" w:sz="4" w:space="0" w:color="auto"/>
            </w:tcBorders>
            <w:shd w:val="clear" w:color="000000" w:fill="FFFFFF"/>
            <w:noWrap/>
            <w:vAlign w:val="center"/>
          </w:tcPr>
          <w:p w14:paraId="58A9BD8A" w14:textId="77777777" w:rsidR="0044035E" w:rsidRPr="00A455FD" w:rsidRDefault="0044035E" w:rsidP="006A1A41">
            <w:pPr>
              <w:spacing w:line="276" w:lineRule="auto"/>
              <w:jc w:val="center"/>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€ 1,929.4</w:t>
            </w:r>
          </w:p>
        </w:tc>
        <w:tc>
          <w:tcPr>
            <w:tcW w:w="714" w:type="dxa"/>
            <w:tcBorders>
              <w:top w:val="single" w:sz="4" w:space="0" w:color="auto"/>
              <w:left w:val="single" w:sz="4" w:space="0" w:color="auto"/>
            </w:tcBorders>
            <w:shd w:val="clear" w:color="000000" w:fill="FFFFFF"/>
            <w:vAlign w:val="center"/>
          </w:tcPr>
          <w:p w14:paraId="02D947E7" w14:textId="77777777" w:rsidR="0044035E" w:rsidRPr="00A455FD" w:rsidRDefault="0044035E" w:rsidP="006A1A41">
            <w:pPr>
              <w:spacing w:line="276" w:lineRule="auto"/>
              <w:jc w:val="center"/>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15%</w:t>
            </w:r>
          </w:p>
        </w:tc>
        <w:tc>
          <w:tcPr>
            <w:tcW w:w="703" w:type="dxa"/>
            <w:tcBorders>
              <w:top w:val="single" w:sz="4" w:space="0" w:color="auto"/>
            </w:tcBorders>
            <w:shd w:val="clear" w:color="000000" w:fill="FFFFFF"/>
            <w:vAlign w:val="center"/>
          </w:tcPr>
          <w:p w14:paraId="64A82A8E" w14:textId="77777777" w:rsidR="0044035E" w:rsidRPr="00A455FD" w:rsidRDefault="0044035E" w:rsidP="006A1A41">
            <w:pPr>
              <w:spacing w:line="276" w:lineRule="auto"/>
              <w:jc w:val="center"/>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15%</w:t>
            </w:r>
          </w:p>
        </w:tc>
      </w:tr>
      <w:tr w:rsidR="0044035E" w:rsidRPr="00CA4A72" w14:paraId="10809BDE" w14:textId="77777777" w:rsidTr="006A1A41">
        <w:trPr>
          <w:trHeight w:val="170"/>
        </w:trPr>
        <w:tc>
          <w:tcPr>
            <w:tcW w:w="2901" w:type="dxa"/>
            <w:tcBorders>
              <w:top w:val="nil"/>
              <w:bottom w:val="nil"/>
              <w:right w:val="single" w:sz="4" w:space="0" w:color="auto"/>
            </w:tcBorders>
            <w:vAlign w:val="center"/>
            <w:hideMark/>
          </w:tcPr>
          <w:p w14:paraId="0D20AD84" w14:textId="77777777" w:rsidR="0044035E" w:rsidRPr="00CA4A72" w:rsidRDefault="0044035E" w:rsidP="006A1A41">
            <w:pPr>
              <w:spacing w:line="276" w:lineRule="auto"/>
              <w:rPr>
                <w:rFonts w:asciiTheme="minorHAnsi" w:eastAsia="Times New Roman" w:hAnsiTheme="minorHAnsi" w:cstheme="minorHAnsi"/>
                <w:b/>
                <w:bCs/>
                <w:sz w:val="12"/>
                <w:szCs w:val="12"/>
                <w:lang w:eastAsia="en-GB"/>
              </w:rPr>
            </w:pPr>
            <w:r w:rsidRPr="00CA4A72">
              <w:rPr>
                <w:rFonts w:asciiTheme="minorHAnsi" w:hAnsiTheme="minorHAnsi" w:cstheme="minorHAnsi"/>
                <w:b/>
                <w:bCs/>
                <w:sz w:val="12"/>
                <w:szCs w:val="12"/>
              </w:rPr>
              <w:t>Total Revenue breakdown by activity</w:t>
            </w:r>
          </w:p>
        </w:tc>
        <w:tc>
          <w:tcPr>
            <w:tcW w:w="775" w:type="dxa"/>
            <w:tcBorders>
              <w:left w:val="single" w:sz="4" w:space="0" w:color="auto"/>
            </w:tcBorders>
            <w:shd w:val="clear" w:color="000000" w:fill="FFFFFF"/>
            <w:vAlign w:val="center"/>
          </w:tcPr>
          <w:p w14:paraId="39AD6031"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992" w:type="dxa"/>
            <w:shd w:val="clear" w:color="000000" w:fill="FFFFFF"/>
            <w:vAlign w:val="center"/>
          </w:tcPr>
          <w:p w14:paraId="4B501D54"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851" w:type="dxa"/>
            <w:tcBorders>
              <w:right w:val="single" w:sz="4" w:space="0" w:color="auto"/>
            </w:tcBorders>
            <w:shd w:val="clear" w:color="000000" w:fill="FFFFFF"/>
            <w:vAlign w:val="center"/>
          </w:tcPr>
          <w:p w14:paraId="5B81FE13"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900" w:type="dxa"/>
            <w:tcBorders>
              <w:left w:val="single" w:sz="4" w:space="0" w:color="auto"/>
            </w:tcBorders>
            <w:shd w:val="clear" w:color="000000" w:fill="FFFFFF"/>
            <w:vAlign w:val="center"/>
          </w:tcPr>
          <w:p w14:paraId="24FD0196"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0" w:type="auto"/>
            <w:shd w:val="clear" w:color="000000" w:fill="FFFFFF"/>
            <w:vAlign w:val="center"/>
          </w:tcPr>
          <w:p w14:paraId="19329370"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898" w:type="dxa"/>
            <w:tcBorders>
              <w:right w:val="single" w:sz="4" w:space="0" w:color="auto"/>
            </w:tcBorders>
            <w:shd w:val="clear" w:color="000000" w:fill="FFFFFF"/>
            <w:vAlign w:val="center"/>
          </w:tcPr>
          <w:p w14:paraId="444EEF27"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714" w:type="dxa"/>
            <w:tcBorders>
              <w:left w:val="single" w:sz="4" w:space="0" w:color="auto"/>
            </w:tcBorders>
            <w:shd w:val="clear" w:color="000000" w:fill="FFFFFF"/>
            <w:vAlign w:val="center"/>
          </w:tcPr>
          <w:p w14:paraId="23397F3D"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703" w:type="dxa"/>
            <w:shd w:val="clear" w:color="000000" w:fill="FFFFFF"/>
            <w:vAlign w:val="center"/>
          </w:tcPr>
          <w:p w14:paraId="6FD3195B"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r>
      <w:tr w:rsidR="0044035E" w:rsidRPr="00CA4A72" w14:paraId="1419B1FE" w14:textId="77777777" w:rsidTr="006A1A41">
        <w:trPr>
          <w:trHeight w:val="170"/>
        </w:trPr>
        <w:tc>
          <w:tcPr>
            <w:tcW w:w="2901" w:type="dxa"/>
            <w:tcBorders>
              <w:top w:val="nil"/>
              <w:bottom w:val="nil"/>
              <w:right w:val="single" w:sz="4" w:space="0" w:color="auto"/>
            </w:tcBorders>
            <w:vAlign w:val="center"/>
            <w:hideMark/>
          </w:tcPr>
          <w:p w14:paraId="30E84507"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Software revenue</w:t>
            </w:r>
          </w:p>
        </w:tc>
        <w:tc>
          <w:tcPr>
            <w:tcW w:w="775" w:type="dxa"/>
            <w:tcBorders>
              <w:left w:val="single" w:sz="4" w:space="0" w:color="auto"/>
            </w:tcBorders>
            <w:shd w:val="clear" w:color="000000" w:fill="FFFFFF"/>
            <w:noWrap/>
            <w:vAlign w:val="center"/>
          </w:tcPr>
          <w:p w14:paraId="59ACEBEB"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1,973.0</w:t>
            </w:r>
          </w:p>
        </w:tc>
        <w:tc>
          <w:tcPr>
            <w:tcW w:w="992" w:type="dxa"/>
            <w:shd w:val="clear" w:color="000000" w:fill="FFFFFF"/>
            <w:noWrap/>
            <w:vAlign w:val="center"/>
          </w:tcPr>
          <w:p w14:paraId="59E3700F"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10.5</w:t>
            </w:r>
          </w:p>
        </w:tc>
        <w:tc>
          <w:tcPr>
            <w:tcW w:w="851" w:type="dxa"/>
            <w:tcBorders>
              <w:right w:val="single" w:sz="4" w:space="0" w:color="auto"/>
            </w:tcBorders>
            <w:shd w:val="clear" w:color="000000" w:fill="FFFFFF"/>
            <w:noWrap/>
            <w:vAlign w:val="center"/>
          </w:tcPr>
          <w:p w14:paraId="054ED98D"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1,983.5</w:t>
            </w:r>
          </w:p>
        </w:tc>
        <w:tc>
          <w:tcPr>
            <w:tcW w:w="900" w:type="dxa"/>
            <w:tcBorders>
              <w:left w:val="single" w:sz="4" w:space="0" w:color="auto"/>
            </w:tcBorders>
            <w:shd w:val="clear" w:color="000000" w:fill="FFFFFF"/>
            <w:noWrap/>
            <w:vAlign w:val="center"/>
          </w:tcPr>
          <w:p w14:paraId="3CFCB17E"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1,702.7</w:t>
            </w:r>
          </w:p>
        </w:tc>
        <w:tc>
          <w:tcPr>
            <w:tcW w:w="0" w:type="auto"/>
            <w:shd w:val="clear" w:color="000000" w:fill="FFFFFF"/>
            <w:noWrap/>
            <w:vAlign w:val="center"/>
          </w:tcPr>
          <w:p w14:paraId="4531FC40"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7.8</w:t>
            </w:r>
          </w:p>
        </w:tc>
        <w:tc>
          <w:tcPr>
            <w:tcW w:w="898" w:type="dxa"/>
            <w:tcBorders>
              <w:right w:val="single" w:sz="4" w:space="0" w:color="auto"/>
            </w:tcBorders>
            <w:shd w:val="clear" w:color="000000" w:fill="FFFFFF"/>
            <w:noWrap/>
            <w:vAlign w:val="center"/>
          </w:tcPr>
          <w:p w14:paraId="29A6F60C"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1,710.5</w:t>
            </w:r>
          </w:p>
        </w:tc>
        <w:tc>
          <w:tcPr>
            <w:tcW w:w="714" w:type="dxa"/>
            <w:tcBorders>
              <w:left w:val="single" w:sz="4" w:space="0" w:color="auto"/>
            </w:tcBorders>
            <w:shd w:val="clear" w:color="000000" w:fill="FFFFFF"/>
            <w:vAlign w:val="center"/>
          </w:tcPr>
          <w:p w14:paraId="0539F930"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16%</w:t>
            </w:r>
          </w:p>
        </w:tc>
        <w:tc>
          <w:tcPr>
            <w:tcW w:w="703" w:type="dxa"/>
            <w:shd w:val="clear" w:color="000000" w:fill="FFFFFF"/>
            <w:vAlign w:val="center"/>
          </w:tcPr>
          <w:p w14:paraId="1C195D36"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16%</w:t>
            </w:r>
          </w:p>
        </w:tc>
      </w:tr>
      <w:tr w:rsidR="0044035E" w:rsidRPr="00CA4A72" w14:paraId="189C61A7" w14:textId="77777777" w:rsidTr="006A1A41">
        <w:trPr>
          <w:trHeight w:val="170"/>
        </w:trPr>
        <w:tc>
          <w:tcPr>
            <w:tcW w:w="2901" w:type="dxa"/>
            <w:tcBorders>
              <w:top w:val="nil"/>
              <w:bottom w:val="nil"/>
              <w:right w:val="single" w:sz="4" w:space="0" w:color="auto"/>
            </w:tcBorders>
            <w:vAlign w:val="center"/>
            <w:hideMark/>
          </w:tcPr>
          <w:p w14:paraId="38CE1ACA" w14:textId="77777777" w:rsidR="0044035E" w:rsidRPr="00CA4A72" w:rsidRDefault="0044035E" w:rsidP="006A1A41">
            <w:pPr>
              <w:spacing w:line="276" w:lineRule="auto"/>
              <w:ind w:firstLineChars="50" w:firstLine="60"/>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Licenses and other software revenue</w:t>
            </w:r>
          </w:p>
        </w:tc>
        <w:tc>
          <w:tcPr>
            <w:tcW w:w="775" w:type="dxa"/>
            <w:tcBorders>
              <w:left w:val="single" w:sz="4" w:space="0" w:color="auto"/>
            </w:tcBorders>
            <w:shd w:val="clear" w:color="000000" w:fill="FFFFFF"/>
            <w:noWrap/>
            <w:vAlign w:val="center"/>
          </w:tcPr>
          <w:p w14:paraId="55E69617"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341.5</w:t>
            </w:r>
          </w:p>
        </w:tc>
        <w:tc>
          <w:tcPr>
            <w:tcW w:w="992" w:type="dxa"/>
            <w:shd w:val="clear" w:color="000000" w:fill="FFFFFF"/>
            <w:noWrap/>
            <w:vAlign w:val="center"/>
          </w:tcPr>
          <w:p w14:paraId="0A18E0FA"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851" w:type="dxa"/>
            <w:tcBorders>
              <w:right w:val="single" w:sz="4" w:space="0" w:color="auto"/>
            </w:tcBorders>
            <w:shd w:val="clear" w:color="000000" w:fill="FFFFFF"/>
            <w:noWrap/>
            <w:vAlign w:val="center"/>
          </w:tcPr>
          <w:p w14:paraId="777B8A85"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341.5</w:t>
            </w:r>
          </w:p>
        </w:tc>
        <w:tc>
          <w:tcPr>
            <w:tcW w:w="900" w:type="dxa"/>
            <w:tcBorders>
              <w:left w:val="single" w:sz="4" w:space="0" w:color="auto"/>
            </w:tcBorders>
            <w:shd w:val="clear" w:color="000000" w:fill="FFFFFF"/>
            <w:noWrap/>
            <w:vAlign w:val="center"/>
          </w:tcPr>
          <w:p w14:paraId="597DF6E4"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461.8</w:t>
            </w:r>
          </w:p>
        </w:tc>
        <w:tc>
          <w:tcPr>
            <w:tcW w:w="0" w:type="auto"/>
            <w:shd w:val="clear" w:color="000000" w:fill="FFFFFF"/>
            <w:noWrap/>
            <w:vAlign w:val="center"/>
          </w:tcPr>
          <w:p w14:paraId="50757C4B"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898" w:type="dxa"/>
            <w:tcBorders>
              <w:right w:val="single" w:sz="4" w:space="0" w:color="auto"/>
            </w:tcBorders>
            <w:shd w:val="clear" w:color="000000" w:fill="FFFFFF"/>
            <w:noWrap/>
            <w:vAlign w:val="center"/>
          </w:tcPr>
          <w:p w14:paraId="462E1F90"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461.8</w:t>
            </w:r>
          </w:p>
        </w:tc>
        <w:tc>
          <w:tcPr>
            <w:tcW w:w="714" w:type="dxa"/>
            <w:tcBorders>
              <w:left w:val="single" w:sz="4" w:space="0" w:color="auto"/>
            </w:tcBorders>
            <w:shd w:val="clear" w:color="000000" w:fill="FFFFFF"/>
            <w:vAlign w:val="center"/>
          </w:tcPr>
          <w:p w14:paraId="727DBABD"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(26)%</w:t>
            </w:r>
          </w:p>
        </w:tc>
        <w:tc>
          <w:tcPr>
            <w:tcW w:w="703" w:type="dxa"/>
            <w:shd w:val="clear" w:color="000000" w:fill="FFFFFF"/>
            <w:vAlign w:val="center"/>
          </w:tcPr>
          <w:p w14:paraId="5C71E649"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(26)%</w:t>
            </w:r>
          </w:p>
        </w:tc>
      </w:tr>
      <w:tr w:rsidR="0044035E" w:rsidRPr="00CA4A72" w14:paraId="05B4B36E" w14:textId="77777777" w:rsidTr="006A1A41">
        <w:trPr>
          <w:trHeight w:val="170"/>
        </w:trPr>
        <w:tc>
          <w:tcPr>
            <w:tcW w:w="2901" w:type="dxa"/>
            <w:tcBorders>
              <w:top w:val="nil"/>
              <w:bottom w:val="nil"/>
              <w:right w:val="single" w:sz="4" w:space="0" w:color="auto"/>
            </w:tcBorders>
            <w:vAlign w:val="center"/>
            <w:hideMark/>
          </w:tcPr>
          <w:p w14:paraId="425B030F" w14:textId="77777777" w:rsidR="0044035E" w:rsidRPr="00CA4A72" w:rsidRDefault="0044035E" w:rsidP="006A1A41">
            <w:pPr>
              <w:spacing w:line="276" w:lineRule="auto"/>
              <w:ind w:firstLineChars="50" w:firstLine="60"/>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Subscription and Support revenue</w:t>
            </w:r>
          </w:p>
        </w:tc>
        <w:tc>
          <w:tcPr>
            <w:tcW w:w="775" w:type="dxa"/>
            <w:tcBorders>
              <w:left w:val="single" w:sz="4" w:space="0" w:color="auto"/>
            </w:tcBorders>
            <w:shd w:val="clear" w:color="000000" w:fill="FFFFFF"/>
            <w:noWrap/>
            <w:vAlign w:val="center"/>
          </w:tcPr>
          <w:p w14:paraId="3891238D"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1,631.4</w:t>
            </w:r>
          </w:p>
        </w:tc>
        <w:tc>
          <w:tcPr>
            <w:tcW w:w="992" w:type="dxa"/>
            <w:shd w:val="clear" w:color="000000" w:fill="FFFFFF"/>
            <w:noWrap/>
            <w:vAlign w:val="center"/>
          </w:tcPr>
          <w:p w14:paraId="330DAE8B"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10.5</w:t>
            </w:r>
          </w:p>
        </w:tc>
        <w:tc>
          <w:tcPr>
            <w:tcW w:w="851" w:type="dxa"/>
            <w:tcBorders>
              <w:right w:val="single" w:sz="4" w:space="0" w:color="auto"/>
            </w:tcBorders>
            <w:shd w:val="clear" w:color="000000" w:fill="FFFFFF"/>
            <w:noWrap/>
            <w:vAlign w:val="center"/>
          </w:tcPr>
          <w:p w14:paraId="2EEDC790"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1,641.9</w:t>
            </w:r>
          </w:p>
        </w:tc>
        <w:tc>
          <w:tcPr>
            <w:tcW w:w="900" w:type="dxa"/>
            <w:tcBorders>
              <w:left w:val="single" w:sz="4" w:space="0" w:color="auto"/>
            </w:tcBorders>
            <w:shd w:val="clear" w:color="000000" w:fill="FFFFFF"/>
            <w:noWrap/>
            <w:vAlign w:val="center"/>
          </w:tcPr>
          <w:p w14:paraId="730DBA93"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1,240.9</w:t>
            </w:r>
          </w:p>
        </w:tc>
        <w:tc>
          <w:tcPr>
            <w:tcW w:w="0" w:type="auto"/>
            <w:shd w:val="clear" w:color="000000" w:fill="FFFFFF"/>
            <w:noWrap/>
            <w:vAlign w:val="center"/>
          </w:tcPr>
          <w:p w14:paraId="70BB7C61"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7.8</w:t>
            </w:r>
          </w:p>
        </w:tc>
        <w:tc>
          <w:tcPr>
            <w:tcW w:w="898" w:type="dxa"/>
            <w:tcBorders>
              <w:right w:val="single" w:sz="4" w:space="0" w:color="auto"/>
            </w:tcBorders>
            <w:shd w:val="clear" w:color="000000" w:fill="FFFFFF"/>
            <w:noWrap/>
            <w:vAlign w:val="center"/>
          </w:tcPr>
          <w:p w14:paraId="639F937E"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1,248.7</w:t>
            </w:r>
          </w:p>
        </w:tc>
        <w:tc>
          <w:tcPr>
            <w:tcW w:w="714" w:type="dxa"/>
            <w:tcBorders>
              <w:left w:val="single" w:sz="4" w:space="0" w:color="auto"/>
            </w:tcBorders>
            <w:shd w:val="clear" w:color="000000" w:fill="FFFFFF"/>
            <w:vAlign w:val="center"/>
          </w:tcPr>
          <w:p w14:paraId="7BEA2528"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31%</w:t>
            </w:r>
          </w:p>
        </w:tc>
        <w:tc>
          <w:tcPr>
            <w:tcW w:w="703" w:type="dxa"/>
            <w:shd w:val="clear" w:color="000000" w:fill="FFFFFF"/>
            <w:vAlign w:val="center"/>
          </w:tcPr>
          <w:p w14:paraId="60A06E4F"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31%</w:t>
            </w:r>
          </w:p>
        </w:tc>
      </w:tr>
      <w:tr w:rsidR="0044035E" w:rsidRPr="00CA4A72" w14:paraId="691230E3" w14:textId="77777777" w:rsidTr="006A1A41">
        <w:trPr>
          <w:trHeight w:val="170"/>
        </w:trPr>
        <w:tc>
          <w:tcPr>
            <w:tcW w:w="2901" w:type="dxa"/>
            <w:tcBorders>
              <w:top w:val="nil"/>
              <w:bottom w:val="nil"/>
              <w:right w:val="single" w:sz="4" w:space="0" w:color="auto"/>
            </w:tcBorders>
            <w:vAlign w:val="center"/>
            <w:hideMark/>
          </w:tcPr>
          <w:p w14:paraId="00543791" w14:textId="77777777" w:rsidR="0044035E" w:rsidRPr="00CA4A72" w:rsidRDefault="0044035E" w:rsidP="006A1A41">
            <w:pPr>
              <w:spacing w:line="276" w:lineRule="auto"/>
              <w:rPr>
                <w:rFonts w:asciiTheme="minorHAnsi" w:eastAsia="Times New Roman" w:hAnsiTheme="minorHAnsi" w:cstheme="minorHAnsi"/>
                <w:i/>
                <w:iCs/>
                <w:sz w:val="12"/>
                <w:szCs w:val="12"/>
                <w:lang w:eastAsia="en-GB"/>
              </w:rPr>
            </w:pPr>
            <w:r w:rsidRPr="00CA4A72">
              <w:rPr>
                <w:rFonts w:asciiTheme="minorHAnsi" w:hAnsiTheme="minorHAnsi" w:cstheme="minorHAnsi"/>
                <w:i/>
                <w:iCs/>
                <w:sz w:val="12"/>
                <w:szCs w:val="12"/>
              </w:rPr>
              <w:t xml:space="preserve">     Recurring portion of Software revenue</w:t>
            </w:r>
          </w:p>
        </w:tc>
        <w:tc>
          <w:tcPr>
            <w:tcW w:w="775" w:type="dxa"/>
            <w:tcBorders>
              <w:left w:val="single" w:sz="4" w:space="0" w:color="auto"/>
            </w:tcBorders>
            <w:shd w:val="clear" w:color="000000" w:fill="FFFFFF"/>
            <w:noWrap/>
            <w:vAlign w:val="center"/>
          </w:tcPr>
          <w:p w14:paraId="39E4566C" w14:textId="77777777" w:rsidR="0044035E" w:rsidRPr="00A455FD" w:rsidRDefault="0044035E" w:rsidP="006A1A41">
            <w:pPr>
              <w:spacing w:line="276" w:lineRule="auto"/>
              <w:jc w:val="center"/>
              <w:rPr>
                <w:rFonts w:asciiTheme="minorHAnsi" w:eastAsia="Times New Roman" w:hAnsiTheme="minorHAnsi" w:cstheme="minorHAnsi"/>
                <w:i/>
                <w:iCs/>
                <w:sz w:val="12"/>
                <w:szCs w:val="12"/>
                <w:highlight w:val="yellow"/>
                <w:lang w:eastAsia="en-GB"/>
              </w:rPr>
            </w:pPr>
            <w:r w:rsidRPr="00A455FD">
              <w:rPr>
                <w:rFonts w:asciiTheme="minorHAnsi" w:hAnsiTheme="minorHAnsi" w:cstheme="minorHAnsi"/>
                <w:i/>
                <w:iCs/>
                <w:color w:val="000000"/>
                <w:sz w:val="12"/>
                <w:szCs w:val="12"/>
              </w:rPr>
              <w:t>83%</w:t>
            </w:r>
          </w:p>
        </w:tc>
        <w:tc>
          <w:tcPr>
            <w:tcW w:w="992" w:type="dxa"/>
            <w:shd w:val="clear" w:color="000000" w:fill="FFFFFF"/>
            <w:noWrap/>
            <w:vAlign w:val="center"/>
          </w:tcPr>
          <w:p w14:paraId="07D42F2D" w14:textId="77777777" w:rsidR="0044035E" w:rsidRPr="00A455FD" w:rsidRDefault="0044035E" w:rsidP="006A1A41">
            <w:pPr>
              <w:spacing w:line="276" w:lineRule="auto"/>
              <w:jc w:val="center"/>
              <w:rPr>
                <w:rFonts w:asciiTheme="minorHAnsi" w:eastAsia="Times New Roman" w:hAnsiTheme="minorHAnsi" w:cstheme="minorHAnsi"/>
                <w:i/>
                <w:iCs/>
                <w:sz w:val="12"/>
                <w:szCs w:val="12"/>
                <w:highlight w:val="yellow"/>
                <w:lang w:eastAsia="en-GB"/>
              </w:rPr>
            </w:pPr>
          </w:p>
        </w:tc>
        <w:tc>
          <w:tcPr>
            <w:tcW w:w="851" w:type="dxa"/>
            <w:tcBorders>
              <w:right w:val="single" w:sz="4" w:space="0" w:color="auto"/>
            </w:tcBorders>
            <w:shd w:val="clear" w:color="000000" w:fill="FFFFFF"/>
            <w:noWrap/>
            <w:vAlign w:val="center"/>
          </w:tcPr>
          <w:p w14:paraId="72228D36" w14:textId="77777777" w:rsidR="0044035E" w:rsidRPr="00A455FD" w:rsidRDefault="0044035E" w:rsidP="006A1A41">
            <w:pPr>
              <w:spacing w:line="276" w:lineRule="auto"/>
              <w:jc w:val="center"/>
              <w:rPr>
                <w:rFonts w:asciiTheme="minorHAnsi" w:eastAsia="Times New Roman" w:hAnsiTheme="minorHAnsi" w:cstheme="minorHAnsi"/>
                <w:i/>
                <w:iCs/>
                <w:sz w:val="12"/>
                <w:szCs w:val="12"/>
                <w:highlight w:val="yellow"/>
                <w:lang w:eastAsia="en-GB"/>
              </w:rPr>
            </w:pPr>
            <w:r w:rsidRPr="00A455FD">
              <w:rPr>
                <w:rFonts w:asciiTheme="minorHAnsi" w:hAnsiTheme="minorHAnsi" w:cstheme="minorHAnsi"/>
                <w:i/>
                <w:iCs/>
                <w:color w:val="000000"/>
                <w:sz w:val="12"/>
                <w:szCs w:val="12"/>
              </w:rPr>
              <w:t>83%</w:t>
            </w:r>
          </w:p>
        </w:tc>
        <w:tc>
          <w:tcPr>
            <w:tcW w:w="900" w:type="dxa"/>
            <w:tcBorders>
              <w:left w:val="single" w:sz="4" w:space="0" w:color="auto"/>
            </w:tcBorders>
            <w:shd w:val="clear" w:color="000000" w:fill="FFFFFF"/>
            <w:noWrap/>
            <w:vAlign w:val="center"/>
          </w:tcPr>
          <w:p w14:paraId="329055D7" w14:textId="77777777" w:rsidR="0044035E" w:rsidRPr="00A455FD" w:rsidRDefault="0044035E" w:rsidP="006A1A41">
            <w:pPr>
              <w:spacing w:line="276" w:lineRule="auto"/>
              <w:jc w:val="center"/>
              <w:rPr>
                <w:rFonts w:asciiTheme="minorHAnsi" w:eastAsia="Times New Roman" w:hAnsiTheme="minorHAnsi" w:cstheme="minorHAnsi"/>
                <w:i/>
                <w:iCs/>
                <w:sz w:val="12"/>
                <w:szCs w:val="12"/>
                <w:highlight w:val="yellow"/>
                <w:lang w:eastAsia="en-GB"/>
              </w:rPr>
            </w:pPr>
            <w:r w:rsidRPr="00A455FD">
              <w:rPr>
                <w:rFonts w:asciiTheme="minorHAnsi" w:hAnsiTheme="minorHAnsi" w:cstheme="minorHAnsi"/>
                <w:i/>
                <w:iCs/>
                <w:color w:val="000000"/>
                <w:sz w:val="12"/>
                <w:szCs w:val="12"/>
              </w:rPr>
              <w:t>73%</w:t>
            </w:r>
          </w:p>
        </w:tc>
        <w:tc>
          <w:tcPr>
            <w:tcW w:w="0" w:type="auto"/>
            <w:shd w:val="clear" w:color="000000" w:fill="FFFFFF"/>
            <w:noWrap/>
            <w:vAlign w:val="center"/>
          </w:tcPr>
          <w:p w14:paraId="6639F172" w14:textId="77777777" w:rsidR="0044035E" w:rsidRPr="00A455FD" w:rsidRDefault="0044035E" w:rsidP="006A1A41">
            <w:pPr>
              <w:spacing w:line="276" w:lineRule="auto"/>
              <w:jc w:val="center"/>
              <w:rPr>
                <w:rFonts w:asciiTheme="minorHAnsi" w:eastAsia="Times New Roman" w:hAnsiTheme="minorHAnsi" w:cstheme="minorHAnsi"/>
                <w:i/>
                <w:iCs/>
                <w:sz w:val="12"/>
                <w:szCs w:val="12"/>
                <w:highlight w:val="yellow"/>
                <w:lang w:eastAsia="en-GB"/>
              </w:rPr>
            </w:pPr>
          </w:p>
        </w:tc>
        <w:tc>
          <w:tcPr>
            <w:tcW w:w="898" w:type="dxa"/>
            <w:tcBorders>
              <w:right w:val="single" w:sz="4" w:space="0" w:color="auto"/>
            </w:tcBorders>
            <w:shd w:val="clear" w:color="000000" w:fill="FFFFFF"/>
            <w:noWrap/>
            <w:vAlign w:val="center"/>
          </w:tcPr>
          <w:p w14:paraId="57F0822C" w14:textId="77777777" w:rsidR="0044035E" w:rsidRPr="00A455FD" w:rsidRDefault="0044035E" w:rsidP="006A1A41">
            <w:pPr>
              <w:spacing w:line="276" w:lineRule="auto"/>
              <w:jc w:val="center"/>
              <w:rPr>
                <w:rFonts w:asciiTheme="minorHAnsi" w:eastAsia="Times New Roman" w:hAnsiTheme="minorHAnsi" w:cstheme="minorHAnsi"/>
                <w:i/>
                <w:iCs/>
                <w:sz w:val="12"/>
                <w:szCs w:val="12"/>
                <w:highlight w:val="yellow"/>
                <w:lang w:eastAsia="en-GB"/>
              </w:rPr>
            </w:pPr>
            <w:r w:rsidRPr="00A455FD">
              <w:rPr>
                <w:rFonts w:asciiTheme="minorHAnsi" w:hAnsiTheme="minorHAnsi" w:cstheme="minorHAnsi"/>
                <w:i/>
                <w:iCs/>
                <w:color w:val="000000"/>
                <w:sz w:val="12"/>
                <w:szCs w:val="12"/>
              </w:rPr>
              <w:t>73%</w:t>
            </w:r>
          </w:p>
        </w:tc>
        <w:tc>
          <w:tcPr>
            <w:tcW w:w="714" w:type="dxa"/>
            <w:tcBorders>
              <w:left w:val="single" w:sz="4" w:space="0" w:color="auto"/>
            </w:tcBorders>
            <w:shd w:val="clear" w:color="000000" w:fill="FFFFFF"/>
            <w:vAlign w:val="center"/>
          </w:tcPr>
          <w:p w14:paraId="40BEB112" w14:textId="77777777" w:rsidR="0044035E" w:rsidRPr="00A455FD" w:rsidRDefault="0044035E" w:rsidP="006A1A41">
            <w:pPr>
              <w:spacing w:line="276" w:lineRule="auto"/>
              <w:jc w:val="center"/>
              <w:rPr>
                <w:rFonts w:asciiTheme="minorHAnsi" w:eastAsia="Times New Roman" w:hAnsiTheme="minorHAnsi" w:cstheme="minorHAnsi"/>
                <w:i/>
                <w:iCs/>
                <w:sz w:val="12"/>
                <w:szCs w:val="12"/>
                <w:highlight w:val="yellow"/>
                <w:lang w:eastAsia="en-GB"/>
              </w:rPr>
            </w:pPr>
          </w:p>
        </w:tc>
        <w:tc>
          <w:tcPr>
            <w:tcW w:w="703" w:type="dxa"/>
            <w:shd w:val="clear" w:color="000000" w:fill="FFFFFF"/>
            <w:vAlign w:val="center"/>
          </w:tcPr>
          <w:p w14:paraId="6E9BC645" w14:textId="77777777" w:rsidR="0044035E" w:rsidRPr="00A455FD" w:rsidRDefault="0044035E" w:rsidP="006A1A41">
            <w:pPr>
              <w:spacing w:line="276" w:lineRule="auto"/>
              <w:jc w:val="center"/>
              <w:rPr>
                <w:rFonts w:asciiTheme="minorHAnsi" w:eastAsia="Times New Roman" w:hAnsiTheme="minorHAnsi" w:cstheme="minorHAnsi"/>
                <w:i/>
                <w:iCs/>
                <w:sz w:val="12"/>
                <w:szCs w:val="12"/>
                <w:highlight w:val="yellow"/>
                <w:lang w:eastAsia="en-GB"/>
              </w:rPr>
            </w:pPr>
          </w:p>
        </w:tc>
      </w:tr>
      <w:tr w:rsidR="0044035E" w:rsidRPr="00CA4A72" w14:paraId="5AE79F28" w14:textId="77777777" w:rsidTr="006A1A41">
        <w:trPr>
          <w:trHeight w:val="170"/>
        </w:trPr>
        <w:tc>
          <w:tcPr>
            <w:tcW w:w="2901" w:type="dxa"/>
            <w:tcBorders>
              <w:top w:val="nil"/>
              <w:bottom w:val="nil"/>
              <w:right w:val="single" w:sz="4" w:space="0" w:color="auto"/>
            </w:tcBorders>
            <w:vAlign w:val="center"/>
            <w:hideMark/>
          </w:tcPr>
          <w:p w14:paraId="79EA5CFD"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Services revenue</w:t>
            </w:r>
          </w:p>
        </w:tc>
        <w:tc>
          <w:tcPr>
            <w:tcW w:w="775" w:type="dxa"/>
            <w:tcBorders>
              <w:left w:val="single" w:sz="4" w:space="0" w:color="auto"/>
            </w:tcBorders>
            <w:shd w:val="clear" w:color="000000" w:fill="FFFFFF"/>
            <w:noWrap/>
            <w:vAlign w:val="center"/>
          </w:tcPr>
          <w:p w14:paraId="2EFE3EA9"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230.4</w:t>
            </w:r>
          </w:p>
        </w:tc>
        <w:tc>
          <w:tcPr>
            <w:tcW w:w="992" w:type="dxa"/>
            <w:shd w:val="clear" w:color="000000" w:fill="FFFFFF"/>
            <w:noWrap/>
            <w:vAlign w:val="center"/>
          </w:tcPr>
          <w:p w14:paraId="6AB6B0D5"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1.1</w:t>
            </w:r>
          </w:p>
        </w:tc>
        <w:tc>
          <w:tcPr>
            <w:tcW w:w="851" w:type="dxa"/>
            <w:tcBorders>
              <w:right w:val="single" w:sz="4" w:space="0" w:color="auto"/>
            </w:tcBorders>
            <w:shd w:val="clear" w:color="000000" w:fill="FFFFFF"/>
            <w:noWrap/>
            <w:vAlign w:val="center"/>
          </w:tcPr>
          <w:p w14:paraId="7DAADA9B"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231.5</w:t>
            </w:r>
          </w:p>
        </w:tc>
        <w:tc>
          <w:tcPr>
            <w:tcW w:w="900" w:type="dxa"/>
            <w:tcBorders>
              <w:left w:val="single" w:sz="4" w:space="0" w:color="auto"/>
            </w:tcBorders>
            <w:shd w:val="clear" w:color="000000" w:fill="FFFFFF"/>
            <w:noWrap/>
            <w:vAlign w:val="center"/>
          </w:tcPr>
          <w:p w14:paraId="1E91567C"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217.6</w:t>
            </w:r>
          </w:p>
        </w:tc>
        <w:tc>
          <w:tcPr>
            <w:tcW w:w="0" w:type="auto"/>
            <w:shd w:val="clear" w:color="000000" w:fill="FFFFFF"/>
            <w:noWrap/>
            <w:vAlign w:val="center"/>
          </w:tcPr>
          <w:p w14:paraId="48AF955C" w14:textId="77777777" w:rsidR="0044035E" w:rsidRPr="00A455FD" w:rsidRDefault="0044035E" w:rsidP="006A1A41">
            <w:pPr>
              <w:spacing w:line="276" w:lineRule="auto"/>
              <w:jc w:val="center"/>
              <w:rPr>
                <w:rFonts w:asciiTheme="minorHAnsi" w:eastAsia="Times New Roman" w:hAnsiTheme="minorHAnsi" w:cstheme="minorHAnsi"/>
                <w:iCs/>
                <w:sz w:val="12"/>
                <w:szCs w:val="12"/>
                <w:highlight w:val="yellow"/>
                <w:lang w:eastAsia="en-GB"/>
              </w:rPr>
            </w:pPr>
            <w:r w:rsidRPr="00A455FD">
              <w:rPr>
                <w:rFonts w:asciiTheme="minorHAnsi" w:hAnsiTheme="minorHAnsi" w:cstheme="minorHAnsi"/>
                <w:color w:val="000000"/>
                <w:sz w:val="12"/>
                <w:szCs w:val="12"/>
              </w:rPr>
              <w:t>1.3</w:t>
            </w:r>
          </w:p>
        </w:tc>
        <w:tc>
          <w:tcPr>
            <w:tcW w:w="898" w:type="dxa"/>
            <w:tcBorders>
              <w:right w:val="single" w:sz="4" w:space="0" w:color="auto"/>
            </w:tcBorders>
            <w:shd w:val="clear" w:color="000000" w:fill="FFFFFF"/>
            <w:noWrap/>
            <w:vAlign w:val="center"/>
          </w:tcPr>
          <w:p w14:paraId="1301BAC0"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218.9</w:t>
            </w:r>
          </w:p>
        </w:tc>
        <w:tc>
          <w:tcPr>
            <w:tcW w:w="714" w:type="dxa"/>
            <w:tcBorders>
              <w:left w:val="single" w:sz="4" w:space="0" w:color="auto"/>
            </w:tcBorders>
            <w:shd w:val="clear" w:color="000000" w:fill="FFFFFF"/>
            <w:vAlign w:val="center"/>
          </w:tcPr>
          <w:p w14:paraId="44660070"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6%</w:t>
            </w:r>
          </w:p>
        </w:tc>
        <w:tc>
          <w:tcPr>
            <w:tcW w:w="703" w:type="dxa"/>
            <w:shd w:val="clear" w:color="000000" w:fill="FFFFFF"/>
            <w:vAlign w:val="center"/>
          </w:tcPr>
          <w:p w14:paraId="182B945E"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6%</w:t>
            </w:r>
          </w:p>
        </w:tc>
      </w:tr>
      <w:tr w:rsidR="0044035E" w:rsidRPr="00CA4A72" w14:paraId="5A4F849D" w14:textId="77777777" w:rsidTr="006A1A41">
        <w:trPr>
          <w:trHeight w:val="170"/>
        </w:trPr>
        <w:tc>
          <w:tcPr>
            <w:tcW w:w="2901" w:type="dxa"/>
            <w:tcBorders>
              <w:top w:val="nil"/>
              <w:bottom w:val="nil"/>
              <w:right w:val="single" w:sz="4" w:space="0" w:color="auto"/>
            </w:tcBorders>
            <w:vAlign w:val="center"/>
            <w:hideMark/>
          </w:tcPr>
          <w:p w14:paraId="02D1A68A" w14:textId="77777777" w:rsidR="0044035E" w:rsidRPr="00CA4A72" w:rsidRDefault="0044035E" w:rsidP="006A1A41">
            <w:pPr>
              <w:spacing w:line="276" w:lineRule="auto"/>
              <w:rPr>
                <w:rFonts w:asciiTheme="minorHAnsi" w:eastAsia="Times New Roman" w:hAnsiTheme="minorHAnsi" w:cstheme="minorHAnsi"/>
                <w:b/>
                <w:bCs/>
                <w:sz w:val="12"/>
                <w:szCs w:val="12"/>
                <w:lang w:eastAsia="en-GB"/>
              </w:rPr>
            </w:pPr>
            <w:r w:rsidRPr="00CA4A72">
              <w:rPr>
                <w:rFonts w:asciiTheme="minorHAnsi" w:hAnsiTheme="minorHAnsi" w:cstheme="minorHAnsi"/>
                <w:b/>
                <w:bCs/>
                <w:sz w:val="12"/>
                <w:szCs w:val="12"/>
              </w:rPr>
              <w:t>Total Software Revenue breakdown by product line</w:t>
            </w:r>
          </w:p>
        </w:tc>
        <w:tc>
          <w:tcPr>
            <w:tcW w:w="775" w:type="dxa"/>
            <w:tcBorders>
              <w:left w:val="single" w:sz="4" w:space="0" w:color="auto"/>
            </w:tcBorders>
            <w:shd w:val="clear" w:color="000000" w:fill="FFFFFF"/>
            <w:vAlign w:val="center"/>
          </w:tcPr>
          <w:p w14:paraId="3FEEA9EA"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992" w:type="dxa"/>
            <w:shd w:val="clear" w:color="000000" w:fill="FFFFFF"/>
            <w:vAlign w:val="center"/>
          </w:tcPr>
          <w:p w14:paraId="41F94F2D"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851" w:type="dxa"/>
            <w:tcBorders>
              <w:right w:val="single" w:sz="4" w:space="0" w:color="auto"/>
            </w:tcBorders>
            <w:shd w:val="clear" w:color="000000" w:fill="FFFFFF"/>
            <w:vAlign w:val="center"/>
          </w:tcPr>
          <w:p w14:paraId="145F41AC"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900" w:type="dxa"/>
            <w:tcBorders>
              <w:left w:val="single" w:sz="4" w:space="0" w:color="auto"/>
            </w:tcBorders>
            <w:shd w:val="clear" w:color="000000" w:fill="FFFFFF"/>
            <w:vAlign w:val="center"/>
          </w:tcPr>
          <w:p w14:paraId="25673289"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0" w:type="auto"/>
            <w:shd w:val="clear" w:color="000000" w:fill="FFFFFF"/>
            <w:vAlign w:val="center"/>
          </w:tcPr>
          <w:p w14:paraId="030A7D73"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898" w:type="dxa"/>
            <w:tcBorders>
              <w:right w:val="single" w:sz="4" w:space="0" w:color="auto"/>
            </w:tcBorders>
            <w:shd w:val="clear" w:color="000000" w:fill="FFFFFF"/>
            <w:vAlign w:val="center"/>
          </w:tcPr>
          <w:p w14:paraId="447B69C9"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714" w:type="dxa"/>
            <w:tcBorders>
              <w:left w:val="single" w:sz="4" w:space="0" w:color="auto"/>
            </w:tcBorders>
            <w:shd w:val="clear" w:color="000000" w:fill="FFFFFF"/>
            <w:vAlign w:val="center"/>
          </w:tcPr>
          <w:p w14:paraId="4D962906"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703" w:type="dxa"/>
            <w:shd w:val="clear" w:color="000000" w:fill="FFFFFF"/>
            <w:vAlign w:val="center"/>
          </w:tcPr>
          <w:p w14:paraId="14B0B655"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r>
      <w:tr w:rsidR="0044035E" w:rsidRPr="00CA4A72" w14:paraId="7A0135DC" w14:textId="77777777" w:rsidTr="006A1A41">
        <w:trPr>
          <w:trHeight w:val="170"/>
        </w:trPr>
        <w:tc>
          <w:tcPr>
            <w:tcW w:w="2901" w:type="dxa"/>
            <w:tcBorders>
              <w:top w:val="nil"/>
              <w:bottom w:val="nil"/>
              <w:right w:val="single" w:sz="4" w:space="0" w:color="auto"/>
            </w:tcBorders>
            <w:hideMark/>
          </w:tcPr>
          <w:p w14:paraId="379F5B8B"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r>
              <w:rPr>
                <w:sz w:val="12"/>
                <w:szCs w:val="12"/>
              </w:rPr>
              <w:t xml:space="preserve">Industrial Innovation </w:t>
            </w:r>
          </w:p>
        </w:tc>
        <w:tc>
          <w:tcPr>
            <w:tcW w:w="775" w:type="dxa"/>
            <w:tcBorders>
              <w:left w:val="single" w:sz="4" w:space="0" w:color="auto"/>
            </w:tcBorders>
            <w:shd w:val="clear" w:color="000000" w:fill="FFFFFF"/>
            <w:noWrap/>
            <w:vAlign w:val="center"/>
          </w:tcPr>
          <w:p w14:paraId="7787BB89"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1,150.0</w:t>
            </w:r>
          </w:p>
        </w:tc>
        <w:tc>
          <w:tcPr>
            <w:tcW w:w="992" w:type="dxa"/>
            <w:shd w:val="clear" w:color="000000" w:fill="FFFFFF"/>
            <w:noWrap/>
            <w:vAlign w:val="center"/>
          </w:tcPr>
          <w:p w14:paraId="2D326105"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0.8</w:t>
            </w:r>
          </w:p>
        </w:tc>
        <w:tc>
          <w:tcPr>
            <w:tcW w:w="851" w:type="dxa"/>
            <w:tcBorders>
              <w:right w:val="single" w:sz="4" w:space="0" w:color="auto"/>
            </w:tcBorders>
            <w:shd w:val="clear" w:color="000000" w:fill="FFFFFF"/>
            <w:noWrap/>
            <w:vAlign w:val="center"/>
          </w:tcPr>
          <w:p w14:paraId="00C0C62D"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1,150.7</w:t>
            </w:r>
          </w:p>
        </w:tc>
        <w:tc>
          <w:tcPr>
            <w:tcW w:w="900" w:type="dxa"/>
            <w:tcBorders>
              <w:left w:val="single" w:sz="4" w:space="0" w:color="auto"/>
            </w:tcBorders>
            <w:shd w:val="clear" w:color="000000" w:fill="FFFFFF"/>
            <w:noWrap/>
            <w:vAlign w:val="center"/>
          </w:tcPr>
          <w:p w14:paraId="7E7F5927"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1,202.2</w:t>
            </w:r>
          </w:p>
        </w:tc>
        <w:tc>
          <w:tcPr>
            <w:tcW w:w="0" w:type="auto"/>
            <w:shd w:val="clear" w:color="000000" w:fill="FFFFFF"/>
            <w:noWrap/>
            <w:vAlign w:val="center"/>
          </w:tcPr>
          <w:p w14:paraId="768C1ED5"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898" w:type="dxa"/>
            <w:tcBorders>
              <w:right w:val="single" w:sz="4" w:space="0" w:color="auto"/>
            </w:tcBorders>
            <w:shd w:val="clear" w:color="000000" w:fill="FFFFFF"/>
            <w:noWrap/>
            <w:vAlign w:val="center"/>
          </w:tcPr>
          <w:p w14:paraId="7887CBE2"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1,202.2</w:t>
            </w:r>
          </w:p>
        </w:tc>
        <w:tc>
          <w:tcPr>
            <w:tcW w:w="714" w:type="dxa"/>
            <w:tcBorders>
              <w:left w:val="single" w:sz="4" w:space="0" w:color="auto"/>
            </w:tcBorders>
            <w:shd w:val="clear" w:color="000000" w:fill="FFFFFF"/>
            <w:noWrap/>
            <w:vAlign w:val="center"/>
          </w:tcPr>
          <w:p w14:paraId="0CA59CB5"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(4)%</w:t>
            </w:r>
          </w:p>
        </w:tc>
        <w:tc>
          <w:tcPr>
            <w:tcW w:w="703" w:type="dxa"/>
            <w:shd w:val="clear" w:color="000000" w:fill="FFFFFF"/>
            <w:noWrap/>
            <w:vAlign w:val="center"/>
          </w:tcPr>
          <w:p w14:paraId="48798C1E"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(4)%</w:t>
            </w:r>
          </w:p>
        </w:tc>
      </w:tr>
      <w:tr w:rsidR="0044035E" w:rsidRPr="00CA4A72" w14:paraId="5BC8703F" w14:textId="77777777" w:rsidTr="006A1A41">
        <w:trPr>
          <w:trHeight w:val="170"/>
        </w:trPr>
        <w:tc>
          <w:tcPr>
            <w:tcW w:w="2901" w:type="dxa"/>
            <w:tcBorders>
              <w:top w:val="nil"/>
              <w:bottom w:val="nil"/>
              <w:right w:val="single" w:sz="4" w:space="0" w:color="auto"/>
            </w:tcBorders>
          </w:tcPr>
          <w:p w14:paraId="1B7C2665" w14:textId="77777777" w:rsidR="0044035E" w:rsidRPr="00CA4A72" w:rsidRDefault="0044035E" w:rsidP="006A1A41">
            <w:pPr>
              <w:spacing w:line="276" w:lineRule="auto"/>
              <w:ind w:firstLineChars="100" w:firstLine="120"/>
              <w:rPr>
                <w:rFonts w:asciiTheme="minorHAnsi" w:hAnsiTheme="minorHAnsi" w:cstheme="minorHAnsi"/>
                <w:sz w:val="12"/>
                <w:szCs w:val="12"/>
                <w:highlight w:val="yellow"/>
              </w:rPr>
            </w:pPr>
            <w:r w:rsidRPr="00D27EF3">
              <w:rPr>
                <w:i/>
                <w:sz w:val="12"/>
                <w:szCs w:val="12"/>
              </w:rPr>
              <w:t>Of which CATIA</w:t>
            </w:r>
          </w:p>
        </w:tc>
        <w:tc>
          <w:tcPr>
            <w:tcW w:w="775" w:type="dxa"/>
            <w:tcBorders>
              <w:left w:val="single" w:sz="4" w:space="0" w:color="auto"/>
            </w:tcBorders>
            <w:shd w:val="clear" w:color="000000" w:fill="FFFFFF"/>
            <w:noWrap/>
            <w:vAlign w:val="center"/>
          </w:tcPr>
          <w:p w14:paraId="04D9B2B5"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i/>
                <w:iCs/>
                <w:color w:val="000000"/>
                <w:sz w:val="12"/>
                <w:szCs w:val="12"/>
              </w:rPr>
              <w:t>521.8</w:t>
            </w:r>
          </w:p>
        </w:tc>
        <w:tc>
          <w:tcPr>
            <w:tcW w:w="992" w:type="dxa"/>
            <w:shd w:val="clear" w:color="000000" w:fill="FFFFFF"/>
            <w:noWrap/>
            <w:vAlign w:val="center"/>
          </w:tcPr>
          <w:p w14:paraId="2EA97E35"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i/>
                <w:iCs/>
                <w:color w:val="000000"/>
                <w:sz w:val="12"/>
                <w:szCs w:val="12"/>
              </w:rPr>
              <w:t>0.8</w:t>
            </w:r>
          </w:p>
        </w:tc>
        <w:tc>
          <w:tcPr>
            <w:tcW w:w="851" w:type="dxa"/>
            <w:tcBorders>
              <w:right w:val="single" w:sz="4" w:space="0" w:color="auto"/>
            </w:tcBorders>
            <w:shd w:val="clear" w:color="000000" w:fill="FFFFFF"/>
            <w:noWrap/>
            <w:vAlign w:val="center"/>
          </w:tcPr>
          <w:p w14:paraId="375B706D"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i/>
                <w:iCs/>
                <w:color w:val="000000"/>
                <w:sz w:val="12"/>
                <w:szCs w:val="12"/>
              </w:rPr>
              <w:t>522.6</w:t>
            </w:r>
          </w:p>
        </w:tc>
        <w:tc>
          <w:tcPr>
            <w:tcW w:w="900" w:type="dxa"/>
            <w:tcBorders>
              <w:left w:val="single" w:sz="4" w:space="0" w:color="auto"/>
            </w:tcBorders>
            <w:shd w:val="clear" w:color="000000" w:fill="FFFFFF"/>
            <w:noWrap/>
            <w:vAlign w:val="center"/>
          </w:tcPr>
          <w:p w14:paraId="49F4CFC7"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i/>
                <w:iCs/>
                <w:color w:val="000000"/>
                <w:sz w:val="12"/>
                <w:szCs w:val="12"/>
              </w:rPr>
              <w:t>550.5</w:t>
            </w:r>
          </w:p>
        </w:tc>
        <w:tc>
          <w:tcPr>
            <w:tcW w:w="0" w:type="auto"/>
            <w:shd w:val="clear" w:color="000000" w:fill="FFFFFF"/>
            <w:noWrap/>
            <w:vAlign w:val="center"/>
          </w:tcPr>
          <w:p w14:paraId="4FD3D863"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898" w:type="dxa"/>
            <w:tcBorders>
              <w:right w:val="single" w:sz="4" w:space="0" w:color="auto"/>
            </w:tcBorders>
            <w:shd w:val="clear" w:color="000000" w:fill="FFFFFF"/>
            <w:noWrap/>
            <w:vAlign w:val="center"/>
          </w:tcPr>
          <w:p w14:paraId="0D2138AB"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i/>
                <w:iCs/>
                <w:color w:val="000000"/>
                <w:sz w:val="12"/>
                <w:szCs w:val="12"/>
              </w:rPr>
              <w:t>550.5</w:t>
            </w:r>
          </w:p>
        </w:tc>
        <w:tc>
          <w:tcPr>
            <w:tcW w:w="714" w:type="dxa"/>
            <w:tcBorders>
              <w:left w:val="single" w:sz="4" w:space="0" w:color="auto"/>
            </w:tcBorders>
            <w:shd w:val="clear" w:color="000000" w:fill="FFFFFF"/>
            <w:noWrap/>
            <w:vAlign w:val="center"/>
          </w:tcPr>
          <w:p w14:paraId="4E879E69"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i/>
                <w:iCs/>
                <w:color w:val="000000"/>
                <w:sz w:val="12"/>
                <w:szCs w:val="12"/>
              </w:rPr>
              <w:t>(5)%</w:t>
            </w:r>
          </w:p>
        </w:tc>
        <w:tc>
          <w:tcPr>
            <w:tcW w:w="703" w:type="dxa"/>
            <w:shd w:val="clear" w:color="000000" w:fill="FFFFFF"/>
            <w:noWrap/>
            <w:vAlign w:val="center"/>
          </w:tcPr>
          <w:p w14:paraId="43D4F504"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i/>
                <w:iCs/>
                <w:color w:val="000000"/>
                <w:sz w:val="12"/>
                <w:szCs w:val="12"/>
              </w:rPr>
              <w:t>(5)%</w:t>
            </w:r>
          </w:p>
        </w:tc>
      </w:tr>
      <w:tr w:rsidR="0044035E" w:rsidRPr="00CA4A72" w14:paraId="2CF16845" w14:textId="77777777" w:rsidTr="006A1A41">
        <w:trPr>
          <w:trHeight w:val="170"/>
        </w:trPr>
        <w:tc>
          <w:tcPr>
            <w:tcW w:w="2901" w:type="dxa"/>
            <w:tcBorders>
              <w:top w:val="nil"/>
              <w:bottom w:val="nil"/>
              <w:right w:val="single" w:sz="4" w:space="0" w:color="auto"/>
            </w:tcBorders>
          </w:tcPr>
          <w:p w14:paraId="3386F9E7" w14:textId="77777777" w:rsidR="0044035E" w:rsidRPr="00CA4A72" w:rsidRDefault="0044035E" w:rsidP="006A1A41">
            <w:pPr>
              <w:spacing w:line="276" w:lineRule="auto"/>
              <w:ind w:firstLineChars="100" w:firstLine="120"/>
              <w:rPr>
                <w:rFonts w:asciiTheme="minorHAnsi" w:hAnsiTheme="minorHAnsi" w:cstheme="minorHAnsi"/>
                <w:sz w:val="12"/>
                <w:szCs w:val="12"/>
                <w:highlight w:val="yellow"/>
              </w:rPr>
            </w:pPr>
            <w:r w:rsidRPr="00D27EF3">
              <w:rPr>
                <w:i/>
                <w:sz w:val="12"/>
                <w:szCs w:val="12"/>
              </w:rPr>
              <w:t xml:space="preserve">Of which ENOVIA </w:t>
            </w:r>
            <w:r w:rsidRPr="007F7C5D">
              <w:rPr>
                <w:i/>
                <w:sz w:val="12"/>
                <w:szCs w:val="12"/>
                <w:vertAlign w:val="superscript"/>
              </w:rPr>
              <w:t>(2)</w:t>
            </w:r>
          </w:p>
        </w:tc>
        <w:tc>
          <w:tcPr>
            <w:tcW w:w="775" w:type="dxa"/>
            <w:tcBorders>
              <w:left w:val="single" w:sz="4" w:space="0" w:color="auto"/>
            </w:tcBorders>
            <w:shd w:val="clear" w:color="000000" w:fill="FFFFFF"/>
            <w:noWrap/>
            <w:vAlign w:val="center"/>
          </w:tcPr>
          <w:p w14:paraId="5C2DE4AA"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i/>
                <w:iCs/>
                <w:color w:val="000000"/>
                <w:sz w:val="12"/>
                <w:szCs w:val="12"/>
              </w:rPr>
              <w:t>164.1</w:t>
            </w:r>
          </w:p>
        </w:tc>
        <w:tc>
          <w:tcPr>
            <w:tcW w:w="992" w:type="dxa"/>
            <w:shd w:val="clear" w:color="000000" w:fill="FFFFFF"/>
            <w:noWrap/>
            <w:vAlign w:val="center"/>
          </w:tcPr>
          <w:p w14:paraId="67AA2E1D"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851" w:type="dxa"/>
            <w:tcBorders>
              <w:right w:val="single" w:sz="4" w:space="0" w:color="auto"/>
            </w:tcBorders>
            <w:shd w:val="clear" w:color="000000" w:fill="FFFFFF"/>
            <w:noWrap/>
            <w:vAlign w:val="center"/>
          </w:tcPr>
          <w:p w14:paraId="06B7FF02"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i/>
                <w:iCs/>
                <w:color w:val="000000"/>
                <w:sz w:val="12"/>
                <w:szCs w:val="12"/>
              </w:rPr>
              <w:t>164.1</w:t>
            </w:r>
          </w:p>
        </w:tc>
        <w:tc>
          <w:tcPr>
            <w:tcW w:w="900" w:type="dxa"/>
            <w:tcBorders>
              <w:left w:val="single" w:sz="4" w:space="0" w:color="auto"/>
            </w:tcBorders>
            <w:shd w:val="clear" w:color="000000" w:fill="FFFFFF"/>
            <w:noWrap/>
            <w:vAlign w:val="center"/>
          </w:tcPr>
          <w:p w14:paraId="5BBE957D"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i/>
                <w:iCs/>
                <w:color w:val="000000"/>
                <w:sz w:val="12"/>
                <w:szCs w:val="12"/>
              </w:rPr>
              <w:t>182.4</w:t>
            </w:r>
          </w:p>
        </w:tc>
        <w:tc>
          <w:tcPr>
            <w:tcW w:w="0" w:type="auto"/>
            <w:shd w:val="clear" w:color="000000" w:fill="FFFFFF"/>
            <w:noWrap/>
            <w:vAlign w:val="center"/>
          </w:tcPr>
          <w:p w14:paraId="3979CB3B"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898" w:type="dxa"/>
            <w:tcBorders>
              <w:right w:val="single" w:sz="4" w:space="0" w:color="auto"/>
            </w:tcBorders>
            <w:shd w:val="clear" w:color="000000" w:fill="FFFFFF"/>
            <w:noWrap/>
            <w:vAlign w:val="center"/>
          </w:tcPr>
          <w:p w14:paraId="107662B7"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i/>
                <w:iCs/>
                <w:color w:val="000000"/>
                <w:sz w:val="12"/>
                <w:szCs w:val="12"/>
              </w:rPr>
              <w:t>182.4</w:t>
            </w:r>
          </w:p>
        </w:tc>
        <w:tc>
          <w:tcPr>
            <w:tcW w:w="714" w:type="dxa"/>
            <w:tcBorders>
              <w:left w:val="single" w:sz="4" w:space="0" w:color="auto"/>
            </w:tcBorders>
            <w:shd w:val="clear" w:color="000000" w:fill="FFFFFF"/>
            <w:noWrap/>
            <w:vAlign w:val="center"/>
          </w:tcPr>
          <w:p w14:paraId="28B5B683"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i/>
                <w:iCs/>
                <w:color w:val="000000"/>
                <w:sz w:val="12"/>
                <w:szCs w:val="12"/>
              </w:rPr>
              <w:t>(10)%</w:t>
            </w:r>
          </w:p>
        </w:tc>
        <w:tc>
          <w:tcPr>
            <w:tcW w:w="703" w:type="dxa"/>
            <w:shd w:val="clear" w:color="000000" w:fill="FFFFFF"/>
            <w:noWrap/>
            <w:vAlign w:val="center"/>
          </w:tcPr>
          <w:p w14:paraId="5E2783A0"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i/>
                <w:iCs/>
                <w:color w:val="000000"/>
                <w:sz w:val="12"/>
                <w:szCs w:val="12"/>
              </w:rPr>
              <w:t>(10)%</w:t>
            </w:r>
          </w:p>
        </w:tc>
      </w:tr>
      <w:tr w:rsidR="0044035E" w:rsidRPr="00CA4A72" w14:paraId="07EC6B21" w14:textId="77777777" w:rsidTr="006A1A41">
        <w:trPr>
          <w:trHeight w:val="170"/>
        </w:trPr>
        <w:tc>
          <w:tcPr>
            <w:tcW w:w="2901" w:type="dxa"/>
            <w:tcBorders>
              <w:top w:val="nil"/>
              <w:bottom w:val="nil"/>
              <w:right w:val="single" w:sz="4" w:space="0" w:color="auto"/>
            </w:tcBorders>
          </w:tcPr>
          <w:p w14:paraId="4439DC0F" w14:textId="77777777" w:rsidR="0044035E" w:rsidRPr="00CA4A72" w:rsidRDefault="0044035E" w:rsidP="006A1A41">
            <w:pPr>
              <w:spacing w:line="276" w:lineRule="auto"/>
              <w:rPr>
                <w:rFonts w:asciiTheme="minorHAnsi" w:hAnsiTheme="minorHAnsi" w:cstheme="minorHAnsi"/>
                <w:sz w:val="12"/>
                <w:szCs w:val="12"/>
              </w:rPr>
            </w:pPr>
            <w:r>
              <w:rPr>
                <w:sz w:val="12"/>
                <w:szCs w:val="12"/>
              </w:rPr>
              <w:t xml:space="preserve">Life Sciences </w:t>
            </w:r>
            <w:r w:rsidRPr="00D27EF3">
              <w:rPr>
                <w:sz w:val="12"/>
                <w:szCs w:val="12"/>
                <w:vertAlign w:val="superscript"/>
              </w:rPr>
              <w:t>(3)</w:t>
            </w:r>
          </w:p>
        </w:tc>
        <w:tc>
          <w:tcPr>
            <w:tcW w:w="775" w:type="dxa"/>
            <w:tcBorders>
              <w:left w:val="single" w:sz="4" w:space="0" w:color="auto"/>
            </w:tcBorders>
            <w:shd w:val="clear" w:color="000000" w:fill="FFFFFF"/>
            <w:noWrap/>
            <w:vAlign w:val="center"/>
          </w:tcPr>
          <w:p w14:paraId="7ABBFFBE"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379.4</w:t>
            </w:r>
          </w:p>
        </w:tc>
        <w:tc>
          <w:tcPr>
            <w:tcW w:w="992" w:type="dxa"/>
            <w:shd w:val="clear" w:color="000000" w:fill="FFFFFF"/>
            <w:noWrap/>
            <w:vAlign w:val="center"/>
          </w:tcPr>
          <w:p w14:paraId="194F0321"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9.3</w:t>
            </w:r>
          </w:p>
        </w:tc>
        <w:tc>
          <w:tcPr>
            <w:tcW w:w="851" w:type="dxa"/>
            <w:tcBorders>
              <w:right w:val="single" w:sz="4" w:space="0" w:color="auto"/>
            </w:tcBorders>
            <w:shd w:val="clear" w:color="000000" w:fill="FFFFFF"/>
            <w:noWrap/>
            <w:vAlign w:val="center"/>
          </w:tcPr>
          <w:p w14:paraId="0737BA12"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388.8</w:t>
            </w:r>
          </w:p>
        </w:tc>
        <w:tc>
          <w:tcPr>
            <w:tcW w:w="900" w:type="dxa"/>
            <w:tcBorders>
              <w:left w:val="single" w:sz="4" w:space="0" w:color="auto"/>
            </w:tcBorders>
            <w:shd w:val="clear" w:color="000000" w:fill="FFFFFF"/>
            <w:noWrap/>
            <w:vAlign w:val="center"/>
          </w:tcPr>
          <w:p w14:paraId="7FE9F70A"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69.2</w:t>
            </w:r>
          </w:p>
        </w:tc>
        <w:tc>
          <w:tcPr>
            <w:tcW w:w="0" w:type="auto"/>
            <w:shd w:val="clear" w:color="000000" w:fill="FFFFFF"/>
            <w:noWrap/>
            <w:vAlign w:val="center"/>
          </w:tcPr>
          <w:p w14:paraId="4DB724CE"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0.5</w:t>
            </w:r>
          </w:p>
        </w:tc>
        <w:tc>
          <w:tcPr>
            <w:tcW w:w="898" w:type="dxa"/>
            <w:tcBorders>
              <w:right w:val="single" w:sz="4" w:space="0" w:color="auto"/>
            </w:tcBorders>
            <w:shd w:val="clear" w:color="000000" w:fill="FFFFFF"/>
            <w:noWrap/>
            <w:vAlign w:val="center"/>
          </w:tcPr>
          <w:p w14:paraId="060BDB84"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69.7</w:t>
            </w:r>
          </w:p>
        </w:tc>
        <w:tc>
          <w:tcPr>
            <w:tcW w:w="714" w:type="dxa"/>
            <w:tcBorders>
              <w:left w:val="single" w:sz="4" w:space="0" w:color="auto"/>
            </w:tcBorders>
            <w:shd w:val="clear" w:color="000000" w:fill="FFFFFF"/>
            <w:noWrap/>
            <w:vAlign w:val="center"/>
          </w:tcPr>
          <w:p w14:paraId="0FF100EB"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448%</w:t>
            </w:r>
          </w:p>
        </w:tc>
        <w:tc>
          <w:tcPr>
            <w:tcW w:w="703" w:type="dxa"/>
            <w:shd w:val="clear" w:color="000000" w:fill="FFFFFF"/>
            <w:noWrap/>
            <w:vAlign w:val="center"/>
          </w:tcPr>
          <w:p w14:paraId="2BBCE00F"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457%</w:t>
            </w:r>
          </w:p>
        </w:tc>
      </w:tr>
      <w:tr w:rsidR="0044035E" w:rsidRPr="00CA4A72" w14:paraId="0CC99208" w14:textId="77777777" w:rsidTr="006A1A41">
        <w:trPr>
          <w:trHeight w:val="170"/>
        </w:trPr>
        <w:tc>
          <w:tcPr>
            <w:tcW w:w="2901" w:type="dxa"/>
            <w:tcBorders>
              <w:top w:val="nil"/>
              <w:bottom w:val="nil"/>
              <w:right w:val="single" w:sz="4" w:space="0" w:color="auto"/>
            </w:tcBorders>
          </w:tcPr>
          <w:p w14:paraId="13D69600" w14:textId="77777777" w:rsidR="0044035E" w:rsidRPr="00CA4A72" w:rsidRDefault="0044035E" w:rsidP="006A1A41">
            <w:pPr>
              <w:spacing w:line="276" w:lineRule="auto"/>
              <w:rPr>
                <w:rFonts w:asciiTheme="minorHAnsi" w:hAnsiTheme="minorHAnsi" w:cstheme="minorHAnsi"/>
                <w:sz w:val="12"/>
                <w:szCs w:val="12"/>
              </w:rPr>
            </w:pPr>
            <w:r>
              <w:rPr>
                <w:sz w:val="12"/>
                <w:szCs w:val="12"/>
              </w:rPr>
              <w:t>Mainstream Innovation</w:t>
            </w:r>
          </w:p>
        </w:tc>
        <w:tc>
          <w:tcPr>
            <w:tcW w:w="775" w:type="dxa"/>
            <w:tcBorders>
              <w:left w:val="single" w:sz="4" w:space="0" w:color="auto"/>
            </w:tcBorders>
            <w:shd w:val="clear" w:color="000000" w:fill="FFFFFF"/>
            <w:noWrap/>
            <w:vAlign w:val="center"/>
          </w:tcPr>
          <w:p w14:paraId="2A453CA4"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443.5</w:t>
            </w:r>
          </w:p>
        </w:tc>
        <w:tc>
          <w:tcPr>
            <w:tcW w:w="992" w:type="dxa"/>
            <w:shd w:val="clear" w:color="000000" w:fill="FFFFFF"/>
            <w:noWrap/>
            <w:vAlign w:val="center"/>
          </w:tcPr>
          <w:p w14:paraId="3D3433B9"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0.4</w:t>
            </w:r>
          </w:p>
        </w:tc>
        <w:tc>
          <w:tcPr>
            <w:tcW w:w="851" w:type="dxa"/>
            <w:tcBorders>
              <w:right w:val="single" w:sz="4" w:space="0" w:color="auto"/>
            </w:tcBorders>
            <w:shd w:val="clear" w:color="000000" w:fill="FFFFFF"/>
            <w:noWrap/>
            <w:vAlign w:val="center"/>
          </w:tcPr>
          <w:p w14:paraId="16B11960"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444.0</w:t>
            </w:r>
          </w:p>
        </w:tc>
        <w:tc>
          <w:tcPr>
            <w:tcW w:w="900" w:type="dxa"/>
            <w:tcBorders>
              <w:left w:val="single" w:sz="4" w:space="0" w:color="auto"/>
            </w:tcBorders>
            <w:shd w:val="clear" w:color="000000" w:fill="FFFFFF"/>
            <w:noWrap/>
            <w:vAlign w:val="center"/>
          </w:tcPr>
          <w:p w14:paraId="23273132"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431.2</w:t>
            </w:r>
          </w:p>
        </w:tc>
        <w:tc>
          <w:tcPr>
            <w:tcW w:w="0" w:type="auto"/>
            <w:shd w:val="clear" w:color="000000" w:fill="FFFFFF"/>
            <w:noWrap/>
            <w:vAlign w:val="center"/>
          </w:tcPr>
          <w:p w14:paraId="31972348"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7.3</w:t>
            </w:r>
          </w:p>
        </w:tc>
        <w:tc>
          <w:tcPr>
            <w:tcW w:w="898" w:type="dxa"/>
            <w:tcBorders>
              <w:right w:val="single" w:sz="4" w:space="0" w:color="auto"/>
            </w:tcBorders>
            <w:shd w:val="clear" w:color="000000" w:fill="FFFFFF"/>
            <w:noWrap/>
            <w:vAlign w:val="center"/>
          </w:tcPr>
          <w:p w14:paraId="0E314C03"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438.5</w:t>
            </w:r>
          </w:p>
        </w:tc>
        <w:tc>
          <w:tcPr>
            <w:tcW w:w="714" w:type="dxa"/>
            <w:tcBorders>
              <w:left w:val="single" w:sz="4" w:space="0" w:color="auto"/>
            </w:tcBorders>
            <w:shd w:val="clear" w:color="000000" w:fill="FFFFFF"/>
            <w:noWrap/>
            <w:vAlign w:val="center"/>
          </w:tcPr>
          <w:p w14:paraId="143DD42D"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3%</w:t>
            </w:r>
          </w:p>
        </w:tc>
        <w:tc>
          <w:tcPr>
            <w:tcW w:w="703" w:type="dxa"/>
            <w:shd w:val="clear" w:color="000000" w:fill="FFFFFF"/>
            <w:noWrap/>
            <w:vAlign w:val="center"/>
          </w:tcPr>
          <w:p w14:paraId="230187F5"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w:t>
            </w:r>
          </w:p>
        </w:tc>
      </w:tr>
      <w:tr w:rsidR="0044035E" w:rsidRPr="00CA4A72" w14:paraId="6528DA32" w14:textId="77777777" w:rsidTr="006A1A41">
        <w:trPr>
          <w:trHeight w:val="170"/>
        </w:trPr>
        <w:tc>
          <w:tcPr>
            <w:tcW w:w="2901" w:type="dxa"/>
            <w:tcBorders>
              <w:top w:val="nil"/>
              <w:bottom w:val="nil"/>
              <w:right w:val="single" w:sz="4" w:space="0" w:color="auto"/>
            </w:tcBorders>
          </w:tcPr>
          <w:p w14:paraId="2BF3F015" w14:textId="77777777" w:rsidR="0044035E" w:rsidRPr="00CA4A72" w:rsidRDefault="0044035E" w:rsidP="006A1A41">
            <w:pPr>
              <w:spacing w:line="276" w:lineRule="auto"/>
              <w:ind w:firstLineChars="100" w:firstLine="120"/>
              <w:rPr>
                <w:rFonts w:asciiTheme="minorHAnsi" w:hAnsiTheme="minorHAnsi" w:cstheme="minorHAnsi"/>
                <w:sz w:val="12"/>
                <w:szCs w:val="12"/>
                <w:highlight w:val="yellow"/>
              </w:rPr>
            </w:pPr>
            <w:r w:rsidRPr="00D27EF3">
              <w:rPr>
                <w:i/>
                <w:sz w:val="12"/>
                <w:szCs w:val="12"/>
              </w:rPr>
              <w:t>Of which SOLIDWORKS</w:t>
            </w:r>
          </w:p>
        </w:tc>
        <w:tc>
          <w:tcPr>
            <w:tcW w:w="775" w:type="dxa"/>
            <w:tcBorders>
              <w:left w:val="single" w:sz="4" w:space="0" w:color="auto"/>
            </w:tcBorders>
            <w:shd w:val="clear" w:color="000000" w:fill="FFFFFF"/>
            <w:noWrap/>
            <w:vAlign w:val="center"/>
          </w:tcPr>
          <w:p w14:paraId="484E31CA"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i/>
                <w:iCs/>
                <w:color w:val="000000"/>
                <w:sz w:val="12"/>
                <w:szCs w:val="12"/>
              </w:rPr>
              <w:t>400.0</w:t>
            </w:r>
          </w:p>
        </w:tc>
        <w:tc>
          <w:tcPr>
            <w:tcW w:w="992" w:type="dxa"/>
            <w:shd w:val="clear" w:color="000000" w:fill="FFFFFF"/>
            <w:noWrap/>
            <w:vAlign w:val="center"/>
          </w:tcPr>
          <w:p w14:paraId="7AD8FC41"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851" w:type="dxa"/>
            <w:tcBorders>
              <w:right w:val="single" w:sz="4" w:space="0" w:color="auto"/>
            </w:tcBorders>
            <w:shd w:val="clear" w:color="000000" w:fill="FFFFFF"/>
            <w:noWrap/>
            <w:vAlign w:val="center"/>
          </w:tcPr>
          <w:p w14:paraId="71523CB3"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i/>
                <w:iCs/>
                <w:color w:val="000000"/>
                <w:sz w:val="12"/>
                <w:szCs w:val="12"/>
              </w:rPr>
              <w:t>400.0</w:t>
            </w:r>
          </w:p>
        </w:tc>
        <w:tc>
          <w:tcPr>
            <w:tcW w:w="900" w:type="dxa"/>
            <w:tcBorders>
              <w:left w:val="single" w:sz="4" w:space="0" w:color="auto"/>
            </w:tcBorders>
            <w:shd w:val="clear" w:color="000000" w:fill="FFFFFF"/>
            <w:noWrap/>
            <w:vAlign w:val="center"/>
          </w:tcPr>
          <w:p w14:paraId="7AEF9F3A"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i/>
                <w:iCs/>
                <w:color w:val="000000"/>
                <w:sz w:val="12"/>
                <w:szCs w:val="12"/>
              </w:rPr>
              <w:t>394.2</w:t>
            </w:r>
          </w:p>
        </w:tc>
        <w:tc>
          <w:tcPr>
            <w:tcW w:w="0" w:type="auto"/>
            <w:shd w:val="clear" w:color="000000" w:fill="FFFFFF"/>
            <w:noWrap/>
            <w:vAlign w:val="center"/>
          </w:tcPr>
          <w:p w14:paraId="55BC6C2E"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898" w:type="dxa"/>
            <w:tcBorders>
              <w:right w:val="single" w:sz="4" w:space="0" w:color="auto"/>
            </w:tcBorders>
            <w:shd w:val="clear" w:color="000000" w:fill="FFFFFF"/>
            <w:noWrap/>
            <w:vAlign w:val="center"/>
          </w:tcPr>
          <w:p w14:paraId="388F0125"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i/>
                <w:iCs/>
                <w:color w:val="000000"/>
                <w:sz w:val="12"/>
                <w:szCs w:val="12"/>
              </w:rPr>
              <w:t>394.2</w:t>
            </w:r>
          </w:p>
        </w:tc>
        <w:tc>
          <w:tcPr>
            <w:tcW w:w="714" w:type="dxa"/>
            <w:tcBorders>
              <w:left w:val="single" w:sz="4" w:space="0" w:color="auto"/>
            </w:tcBorders>
            <w:shd w:val="clear" w:color="000000" w:fill="FFFFFF"/>
            <w:noWrap/>
            <w:vAlign w:val="center"/>
          </w:tcPr>
          <w:p w14:paraId="612BB983"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i/>
                <w:iCs/>
                <w:color w:val="000000"/>
                <w:sz w:val="12"/>
                <w:szCs w:val="12"/>
              </w:rPr>
              <w:t>1%</w:t>
            </w:r>
          </w:p>
        </w:tc>
        <w:tc>
          <w:tcPr>
            <w:tcW w:w="703" w:type="dxa"/>
            <w:shd w:val="clear" w:color="000000" w:fill="FFFFFF"/>
            <w:noWrap/>
            <w:vAlign w:val="center"/>
          </w:tcPr>
          <w:p w14:paraId="6578C4F5"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i/>
                <w:iCs/>
                <w:color w:val="000000"/>
                <w:sz w:val="12"/>
                <w:szCs w:val="12"/>
              </w:rPr>
              <w:t>1%</w:t>
            </w:r>
          </w:p>
        </w:tc>
      </w:tr>
      <w:tr w:rsidR="0044035E" w:rsidRPr="00CA4A72" w14:paraId="0FBE8008" w14:textId="77777777" w:rsidTr="006A1A41">
        <w:trPr>
          <w:trHeight w:val="170"/>
        </w:trPr>
        <w:tc>
          <w:tcPr>
            <w:tcW w:w="2901" w:type="dxa"/>
            <w:tcBorders>
              <w:top w:val="nil"/>
              <w:bottom w:val="nil"/>
              <w:right w:val="single" w:sz="4" w:space="0" w:color="auto"/>
            </w:tcBorders>
            <w:vAlign w:val="center"/>
            <w:hideMark/>
          </w:tcPr>
          <w:p w14:paraId="6B479F48" w14:textId="77777777" w:rsidR="0044035E" w:rsidRPr="00CA4A72" w:rsidRDefault="0044035E" w:rsidP="006A1A41">
            <w:pPr>
              <w:spacing w:line="276" w:lineRule="auto"/>
              <w:rPr>
                <w:rFonts w:asciiTheme="minorHAnsi" w:eastAsia="Times New Roman" w:hAnsiTheme="minorHAnsi" w:cstheme="minorHAnsi"/>
                <w:b/>
                <w:bCs/>
                <w:sz w:val="12"/>
                <w:szCs w:val="12"/>
                <w:lang w:eastAsia="en-GB"/>
              </w:rPr>
            </w:pPr>
            <w:r w:rsidRPr="00CA4A72">
              <w:rPr>
                <w:rFonts w:asciiTheme="minorHAnsi" w:hAnsiTheme="minorHAnsi" w:cstheme="minorHAnsi"/>
                <w:b/>
                <w:bCs/>
                <w:sz w:val="12"/>
                <w:szCs w:val="12"/>
              </w:rPr>
              <w:t>Total Revenue breakdown by geography</w:t>
            </w:r>
          </w:p>
        </w:tc>
        <w:tc>
          <w:tcPr>
            <w:tcW w:w="775" w:type="dxa"/>
            <w:tcBorders>
              <w:left w:val="single" w:sz="4" w:space="0" w:color="auto"/>
            </w:tcBorders>
            <w:shd w:val="clear" w:color="000000" w:fill="FFFFFF"/>
            <w:vAlign w:val="center"/>
          </w:tcPr>
          <w:p w14:paraId="35B6754F"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992" w:type="dxa"/>
            <w:shd w:val="clear" w:color="000000" w:fill="FFFFFF"/>
            <w:vAlign w:val="center"/>
          </w:tcPr>
          <w:p w14:paraId="33BF1DC2"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851" w:type="dxa"/>
            <w:tcBorders>
              <w:right w:val="single" w:sz="4" w:space="0" w:color="auto"/>
            </w:tcBorders>
            <w:shd w:val="clear" w:color="000000" w:fill="FFFFFF"/>
            <w:vAlign w:val="center"/>
          </w:tcPr>
          <w:p w14:paraId="45E56EF2"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900" w:type="dxa"/>
            <w:tcBorders>
              <w:left w:val="single" w:sz="4" w:space="0" w:color="auto"/>
            </w:tcBorders>
            <w:shd w:val="clear" w:color="000000" w:fill="FFFFFF"/>
            <w:vAlign w:val="center"/>
          </w:tcPr>
          <w:p w14:paraId="0DDE2118"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0" w:type="auto"/>
            <w:shd w:val="clear" w:color="000000" w:fill="FFFFFF"/>
            <w:vAlign w:val="center"/>
          </w:tcPr>
          <w:p w14:paraId="1DA84DC4"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898" w:type="dxa"/>
            <w:tcBorders>
              <w:right w:val="single" w:sz="4" w:space="0" w:color="auto"/>
            </w:tcBorders>
            <w:shd w:val="clear" w:color="000000" w:fill="FFFFFF"/>
            <w:vAlign w:val="center"/>
          </w:tcPr>
          <w:p w14:paraId="5CBC2CF2"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714" w:type="dxa"/>
            <w:tcBorders>
              <w:left w:val="single" w:sz="4" w:space="0" w:color="auto"/>
            </w:tcBorders>
            <w:shd w:val="clear" w:color="000000" w:fill="FFFFFF"/>
            <w:vAlign w:val="center"/>
          </w:tcPr>
          <w:p w14:paraId="3A152A76"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703" w:type="dxa"/>
            <w:shd w:val="clear" w:color="000000" w:fill="FFFFFF"/>
            <w:vAlign w:val="center"/>
          </w:tcPr>
          <w:p w14:paraId="590AD5F2"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r>
      <w:tr w:rsidR="0044035E" w:rsidRPr="00CA4A72" w14:paraId="732C2441" w14:textId="77777777" w:rsidTr="006A1A41">
        <w:trPr>
          <w:trHeight w:val="170"/>
        </w:trPr>
        <w:tc>
          <w:tcPr>
            <w:tcW w:w="2901" w:type="dxa"/>
            <w:tcBorders>
              <w:top w:val="nil"/>
              <w:bottom w:val="nil"/>
              <w:right w:val="single" w:sz="4" w:space="0" w:color="auto"/>
            </w:tcBorders>
            <w:vAlign w:val="center"/>
            <w:hideMark/>
          </w:tcPr>
          <w:p w14:paraId="1A426197"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 xml:space="preserve">Americas </w:t>
            </w:r>
          </w:p>
        </w:tc>
        <w:tc>
          <w:tcPr>
            <w:tcW w:w="775" w:type="dxa"/>
            <w:tcBorders>
              <w:left w:val="single" w:sz="4" w:space="0" w:color="auto"/>
            </w:tcBorders>
            <w:shd w:val="clear" w:color="000000" w:fill="FFFFFF"/>
            <w:noWrap/>
            <w:vAlign w:val="center"/>
          </w:tcPr>
          <w:p w14:paraId="7FA6978C"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856.7</w:t>
            </w:r>
          </w:p>
        </w:tc>
        <w:tc>
          <w:tcPr>
            <w:tcW w:w="992" w:type="dxa"/>
            <w:shd w:val="clear" w:color="000000" w:fill="FFFFFF"/>
            <w:noWrap/>
            <w:vAlign w:val="center"/>
          </w:tcPr>
          <w:p w14:paraId="3510D0D1"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11.0</w:t>
            </w:r>
          </w:p>
        </w:tc>
        <w:tc>
          <w:tcPr>
            <w:tcW w:w="851" w:type="dxa"/>
            <w:tcBorders>
              <w:right w:val="single" w:sz="4" w:space="0" w:color="auto"/>
            </w:tcBorders>
            <w:shd w:val="clear" w:color="000000" w:fill="FFFFFF"/>
            <w:noWrap/>
            <w:vAlign w:val="center"/>
          </w:tcPr>
          <w:p w14:paraId="6127BE9C"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867.7</w:t>
            </w:r>
          </w:p>
        </w:tc>
        <w:tc>
          <w:tcPr>
            <w:tcW w:w="900" w:type="dxa"/>
            <w:tcBorders>
              <w:left w:val="single" w:sz="4" w:space="0" w:color="auto"/>
            </w:tcBorders>
            <w:shd w:val="clear" w:color="000000" w:fill="FFFFFF"/>
            <w:noWrap/>
            <w:vAlign w:val="center"/>
          </w:tcPr>
          <w:p w14:paraId="4CC85AF6"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602.7</w:t>
            </w:r>
          </w:p>
        </w:tc>
        <w:tc>
          <w:tcPr>
            <w:tcW w:w="0" w:type="auto"/>
            <w:shd w:val="clear" w:color="000000" w:fill="FFFFFF"/>
            <w:noWrap/>
            <w:vAlign w:val="center"/>
          </w:tcPr>
          <w:p w14:paraId="3D56659C"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7.1</w:t>
            </w:r>
          </w:p>
        </w:tc>
        <w:tc>
          <w:tcPr>
            <w:tcW w:w="898" w:type="dxa"/>
            <w:tcBorders>
              <w:right w:val="single" w:sz="4" w:space="0" w:color="auto"/>
            </w:tcBorders>
            <w:shd w:val="clear" w:color="000000" w:fill="FFFFFF"/>
            <w:noWrap/>
            <w:vAlign w:val="center"/>
          </w:tcPr>
          <w:p w14:paraId="3684EE22"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609.7</w:t>
            </w:r>
          </w:p>
        </w:tc>
        <w:tc>
          <w:tcPr>
            <w:tcW w:w="714" w:type="dxa"/>
            <w:tcBorders>
              <w:left w:val="single" w:sz="4" w:space="0" w:color="auto"/>
            </w:tcBorders>
            <w:shd w:val="clear" w:color="000000" w:fill="FFFFFF"/>
            <w:vAlign w:val="center"/>
          </w:tcPr>
          <w:p w14:paraId="24B06DBD"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42%</w:t>
            </w:r>
          </w:p>
        </w:tc>
        <w:tc>
          <w:tcPr>
            <w:tcW w:w="703" w:type="dxa"/>
            <w:shd w:val="clear" w:color="000000" w:fill="FFFFFF"/>
            <w:vAlign w:val="center"/>
          </w:tcPr>
          <w:p w14:paraId="1F6EA7E8"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42%</w:t>
            </w:r>
          </w:p>
        </w:tc>
      </w:tr>
      <w:tr w:rsidR="0044035E" w:rsidRPr="00CA4A72" w14:paraId="5BB81F0C" w14:textId="77777777" w:rsidTr="006A1A41">
        <w:trPr>
          <w:trHeight w:val="170"/>
        </w:trPr>
        <w:tc>
          <w:tcPr>
            <w:tcW w:w="2901" w:type="dxa"/>
            <w:tcBorders>
              <w:top w:val="nil"/>
              <w:bottom w:val="nil"/>
              <w:right w:val="single" w:sz="4" w:space="0" w:color="auto"/>
            </w:tcBorders>
            <w:vAlign w:val="center"/>
            <w:hideMark/>
          </w:tcPr>
          <w:p w14:paraId="7F77BB8F"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 xml:space="preserve">Europe </w:t>
            </w:r>
          </w:p>
        </w:tc>
        <w:tc>
          <w:tcPr>
            <w:tcW w:w="775" w:type="dxa"/>
            <w:tcBorders>
              <w:left w:val="single" w:sz="4" w:space="0" w:color="auto"/>
            </w:tcBorders>
            <w:shd w:val="clear" w:color="000000" w:fill="FFFFFF"/>
            <w:noWrap/>
            <w:vAlign w:val="center"/>
          </w:tcPr>
          <w:p w14:paraId="2F635729"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799.0</w:t>
            </w:r>
          </w:p>
        </w:tc>
        <w:tc>
          <w:tcPr>
            <w:tcW w:w="992" w:type="dxa"/>
            <w:shd w:val="clear" w:color="000000" w:fill="FFFFFF"/>
            <w:noWrap/>
            <w:vAlign w:val="center"/>
          </w:tcPr>
          <w:p w14:paraId="11137D44"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0.3</w:t>
            </w:r>
          </w:p>
        </w:tc>
        <w:tc>
          <w:tcPr>
            <w:tcW w:w="851" w:type="dxa"/>
            <w:tcBorders>
              <w:right w:val="single" w:sz="4" w:space="0" w:color="auto"/>
            </w:tcBorders>
            <w:shd w:val="clear" w:color="000000" w:fill="FFFFFF"/>
            <w:noWrap/>
            <w:vAlign w:val="center"/>
          </w:tcPr>
          <w:p w14:paraId="33B9441D"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799.4</w:t>
            </w:r>
          </w:p>
        </w:tc>
        <w:tc>
          <w:tcPr>
            <w:tcW w:w="900" w:type="dxa"/>
            <w:tcBorders>
              <w:left w:val="single" w:sz="4" w:space="0" w:color="auto"/>
            </w:tcBorders>
            <w:shd w:val="clear" w:color="000000" w:fill="FFFFFF"/>
            <w:noWrap/>
            <w:vAlign w:val="center"/>
          </w:tcPr>
          <w:p w14:paraId="6576DF07"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802.2</w:t>
            </w:r>
          </w:p>
        </w:tc>
        <w:tc>
          <w:tcPr>
            <w:tcW w:w="0" w:type="auto"/>
            <w:shd w:val="clear" w:color="000000" w:fill="FFFFFF"/>
            <w:noWrap/>
            <w:vAlign w:val="center"/>
          </w:tcPr>
          <w:p w14:paraId="1C570F39"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2.0</w:t>
            </w:r>
          </w:p>
        </w:tc>
        <w:tc>
          <w:tcPr>
            <w:tcW w:w="898" w:type="dxa"/>
            <w:tcBorders>
              <w:right w:val="single" w:sz="4" w:space="0" w:color="auto"/>
            </w:tcBorders>
            <w:shd w:val="clear" w:color="000000" w:fill="FFFFFF"/>
            <w:noWrap/>
            <w:vAlign w:val="center"/>
          </w:tcPr>
          <w:p w14:paraId="52EFC4F7"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804.2</w:t>
            </w:r>
          </w:p>
        </w:tc>
        <w:tc>
          <w:tcPr>
            <w:tcW w:w="714" w:type="dxa"/>
            <w:tcBorders>
              <w:left w:val="single" w:sz="4" w:space="0" w:color="auto"/>
            </w:tcBorders>
            <w:shd w:val="clear" w:color="000000" w:fill="FFFFFF"/>
            <w:vAlign w:val="center"/>
          </w:tcPr>
          <w:p w14:paraId="5364079A"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(0)%</w:t>
            </w:r>
          </w:p>
        </w:tc>
        <w:tc>
          <w:tcPr>
            <w:tcW w:w="703" w:type="dxa"/>
            <w:shd w:val="clear" w:color="000000" w:fill="FFFFFF"/>
            <w:vAlign w:val="center"/>
          </w:tcPr>
          <w:p w14:paraId="3F8490E9"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w:t>
            </w:r>
          </w:p>
        </w:tc>
      </w:tr>
      <w:tr w:rsidR="0044035E" w:rsidRPr="00CA4A72" w14:paraId="09C3D575" w14:textId="77777777" w:rsidTr="006A1A41">
        <w:trPr>
          <w:trHeight w:val="170"/>
        </w:trPr>
        <w:tc>
          <w:tcPr>
            <w:tcW w:w="2901" w:type="dxa"/>
            <w:tcBorders>
              <w:top w:val="nil"/>
              <w:bottom w:val="single" w:sz="4" w:space="0" w:color="auto"/>
              <w:right w:val="single" w:sz="4" w:space="0" w:color="auto"/>
            </w:tcBorders>
            <w:vAlign w:val="center"/>
            <w:hideMark/>
          </w:tcPr>
          <w:p w14:paraId="418BF87C"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 xml:space="preserve">Asia </w:t>
            </w:r>
          </w:p>
        </w:tc>
        <w:tc>
          <w:tcPr>
            <w:tcW w:w="775" w:type="dxa"/>
            <w:tcBorders>
              <w:left w:val="single" w:sz="4" w:space="0" w:color="auto"/>
              <w:bottom w:val="single" w:sz="4" w:space="0" w:color="auto"/>
            </w:tcBorders>
            <w:shd w:val="clear" w:color="000000" w:fill="FFFFFF"/>
            <w:noWrap/>
            <w:vAlign w:val="center"/>
          </w:tcPr>
          <w:p w14:paraId="31C880D1"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547.6</w:t>
            </w:r>
          </w:p>
        </w:tc>
        <w:tc>
          <w:tcPr>
            <w:tcW w:w="992" w:type="dxa"/>
            <w:tcBorders>
              <w:bottom w:val="single" w:sz="4" w:space="0" w:color="auto"/>
            </w:tcBorders>
            <w:shd w:val="clear" w:color="000000" w:fill="FFFFFF"/>
            <w:noWrap/>
            <w:vAlign w:val="center"/>
          </w:tcPr>
          <w:p w14:paraId="7402AE9C"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0.3</w:t>
            </w:r>
          </w:p>
        </w:tc>
        <w:tc>
          <w:tcPr>
            <w:tcW w:w="851" w:type="dxa"/>
            <w:tcBorders>
              <w:bottom w:val="single" w:sz="4" w:space="0" w:color="auto"/>
              <w:right w:val="single" w:sz="4" w:space="0" w:color="auto"/>
            </w:tcBorders>
            <w:shd w:val="clear" w:color="000000" w:fill="FFFFFF"/>
            <w:noWrap/>
            <w:vAlign w:val="center"/>
          </w:tcPr>
          <w:p w14:paraId="25F18AF6"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547.9</w:t>
            </w:r>
          </w:p>
        </w:tc>
        <w:tc>
          <w:tcPr>
            <w:tcW w:w="900" w:type="dxa"/>
            <w:tcBorders>
              <w:left w:val="single" w:sz="4" w:space="0" w:color="auto"/>
              <w:bottom w:val="single" w:sz="4" w:space="0" w:color="auto"/>
            </w:tcBorders>
            <w:shd w:val="clear" w:color="000000" w:fill="FFFFFF"/>
            <w:noWrap/>
            <w:vAlign w:val="center"/>
          </w:tcPr>
          <w:p w14:paraId="3E6CD59C"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515.5</w:t>
            </w:r>
          </w:p>
        </w:tc>
        <w:tc>
          <w:tcPr>
            <w:tcW w:w="0" w:type="auto"/>
            <w:tcBorders>
              <w:bottom w:val="single" w:sz="4" w:space="0" w:color="auto"/>
            </w:tcBorders>
            <w:shd w:val="clear" w:color="000000" w:fill="FFFFFF"/>
            <w:noWrap/>
            <w:vAlign w:val="center"/>
          </w:tcPr>
          <w:p w14:paraId="704B9E21"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898" w:type="dxa"/>
            <w:tcBorders>
              <w:bottom w:val="single" w:sz="4" w:space="0" w:color="auto"/>
              <w:right w:val="single" w:sz="4" w:space="0" w:color="auto"/>
            </w:tcBorders>
            <w:shd w:val="clear" w:color="000000" w:fill="FFFFFF"/>
            <w:noWrap/>
            <w:vAlign w:val="center"/>
          </w:tcPr>
          <w:p w14:paraId="1FFE5DBD"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515.5</w:t>
            </w:r>
          </w:p>
        </w:tc>
        <w:tc>
          <w:tcPr>
            <w:tcW w:w="714" w:type="dxa"/>
            <w:tcBorders>
              <w:left w:val="single" w:sz="4" w:space="0" w:color="auto"/>
              <w:bottom w:val="single" w:sz="4" w:space="0" w:color="auto"/>
            </w:tcBorders>
            <w:shd w:val="clear" w:color="000000" w:fill="FFFFFF"/>
            <w:vAlign w:val="center"/>
          </w:tcPr>
          <w:p w14:paraId="7C5ED7F9"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6%</w:t>
            </w:r>
          </w:p>
        </w:tc>
        <w:tc>
          <w:tcPr>
            <w:tcW w:w="703" w:type="dxa"/>
            <w:tcBorders>
              <w:bottom w:val="single" w:sz="4" w:space="0" w:color="auto"/>
            </w:tcBorders>
            <w:shd w:val="clear" w:color="000000" w:fill="FFFFFF"/>
            <w:vAlign w:val="center"/>
          </w:tcPr>
          <w:p w14:paraId="5D907420"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6%</w:t>
            </w:r>
          </w:p>
        </w:tc>
        <w:bookmarkStart w:id="2" w:name="_GoBack"/>
        <w:bookmarkEnd w:id="2"/>
      </w:tr>
      <w:tr w:rsidR="0044035E" w:rsidRPr="00CA4A72" w14:paraId="65EC82C7" w14:textId="77777777" w:rsidTr="006A1A41">
        <w:trPr>
          <w:trHeight w:val="170"/>
        </w:trPr>
        <w:tc>
          <w:tcPr>
            <w:tcW w:w="2901" w:type="dxa"/>
            <w:tcBorders>
              <w:top w:val="single" w:sz="4" w:space="0" w:color="auto"/>
              <w:bottom w:val="nil"/>
              <w:right w:val="single" w:sz="4" w:space="0" w:color="auto"/>
            </w:tcBorders>
            <w:vAlign w:val="center"/>
            <w:hideMark/>
          </w:tcPr>
          <w:p w14:paraId="38E09736" w14:textId="77777777" w:rsidR="0044035E" w:rsidRPr="00CA4A72" w:rsidRDefault="0044035E" w:rsidP="006A1A41">
            <w:pPr>
              <w:spacing w:line="276" w:lineRule="auto"/>
              <w:rPr>
                <w:rFonts w:asciiTheme="minorHAnsi" w:eastAsia="Times New Roman" w:hAnsiTheme="minorHAnsi" w:cstheme="minorHAnsi"/>
                <w:b/>
                <w:bCs/>
                <w:sz w:val="12"/>
                <w:szCs w:val="12"/>
                <w:lang w:eastAsia="en-GB"/>
              </w:rPr>
            </w:pPr>
            <w:r w:rsidRPr="00CA4A72">
              <w:rPr>
                <w:rFonts w:asciiTheme="minorHAnsi" w:hAnsiTheme="minorHAnsi" w:cstheme="minorHAnsi"/>
                <w:b/>
                <w:bCs/>
                <w:sz w:val="12"/>
                <w:szCs w:val="12"/>
              </w:rPr>
              <w:t>Total Operating Expenses</w:t>
            </w:r>
          </w:p>
        </w:tc>
        <w:tc>
          <w:tcPr>
            <w:tcW w:w="775" w:type="dxa"/>
            <w:tcBorders>
              <w:top w:val="single" w:sz="4" w:space="0" w:color="auto"/>
              <w:left w:val="single" w:sz="4" w:space="0" w:color="auto"/>
              <w:bottom w:val="nil"/>
            </w:tcBorders>
            <w:shd w:val="clear" w:color="000000" w:fill="FFFFFF"/>
            <w:noWrap/>
            <w:vAlign w:val="center"/>
          </w:tcPr>
          <w:p w14:paraId="1B15C4D1" w14:textId="77777777" w:rsidR="0044035E" w:rsidRPr="00A455FD" w:rsidRDefault="0044035E" w:rsidP="006A1A41">
            <w:pPr>
              <w:spacing w:line="276" w:lineRule="auto"/>
              <w:jc w:val="center"/>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 ( 1,941.7)</w:t>
            </w:r>
          </w:p>
        </w:tc>
        <w:tc>
          <w:tcPr>
            <w:tcW w:w="992" w:type="dxa"/>
            <w:tcBorders>
              <w:top w:val="single" w:sz="4" w:space="0" w:color="auto"/>
              <w:bottom w:val="nil"/>
            </w:tcBorders>
            <w:shd w:val="clear" w:color="000000" w:fill="FFFFFF"/>
            <w:noWrap/>
            <w:vAlign w:val="center"/>
          </w:tcPr>
          <w:p w14:paraId="2D2C435E" w14:textId="77777777" w:rsidR="0044035E" w:rsidRPr="00A455FD" w:rsidRDefault="0044035E" w:rsidP="006A1A41">
            <w:pPr>
              <w:spacing w:line="276" w:lineRule="auto"/>
              <w:jc w:val="center"/>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€ 347.1</w:t>
            </w:r>
          </w:p>
        </w:tc>
        <w:tc>
          <w:tcPr>
            <w:tcW w:w="851" w:type="dxa"/>
            <w:tcBorders>
              <w:top w:val="single" w:sz="4" w:space="0" w:color="auto"/>
              <w:bottom w:val="nil"/>
              <w:right w:val="single" w:sz="4" w:space="0" w:color="auto"/>
            </w:tcBorders>
            <w:shd w:val="clear" w:color="000000" w:fill="FFFFFF"/>
            <w:noWrap/>
            <w:vAlign w:val="center"/>
          </w:tcPr>
          <w:p w14:paraId="162144E4" w14:textId="77777777" w:rsidR="0044035E" w:rsidRPr="00A455FD" w:rsidRDefault="0044035E" w:rsidP="006A1A41">
            <w:pPr>
              <w:spacing w:line="276" w:lineRule="auto"/>
              <w:jc w:val="center"/>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 ( 1,594.6)</w:t>
            </w:r>
          </w:p>
        </w:tc>
        <w:tc>
          <w:tcPr>
            <w:tcW w:w="900" w:type="dxa"/>
            <w:tcBorders>
              <w:top w:val="single" w:sz="4" w:space="0" w:color="auto"/>
              <w:left w:val="single" w:sz="4" w:space="0" w:color="auto"/>
              <w:bottom w:val="nil"/>
            </w:tcBorders>
            <w:shd w:val="clear" w:color="auto" w:fill="auto"/>
            <w:noWrap/>
            <w:vAlign w:val="center"/>
          </w:tcPr>
          <w:p w14:paraId="155CAD35" w14:textId="77777777" w:rsidR="0044035E" w:rsidRPr="00A455FD" w:rsidRDefault="0044035E" w:rsidP="006A1A41">
            <w:pPr>
              <w:spacing w:line="276" w:lineRule="auto"/>
              <w:jc w:val="center"/>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 ( 1,522.4)</w:t>
            </w:r>
          </w:p>
        </w:tc>
        <w:tc>
          <w:tcPr>
            <w:tcW w:w="0" w:type="auto"/>
            <w:tcBorders>
              <w:top w:val="single" w:sz="4" w:space="0" w:color="auto"/>
              <w:bottom w:val="nil"/>
            </w:tcBorders>
            <w:shd w:val="clear" w:color="auto" w:fill="auto"/>
            <w:noWrap/>
            <w:vAlign w:val="center"/>
          </w:tcPr>
          <w:p w14:paraId="1F6D7D95" w14:textId="77777777" w:rsidR="0044035E" w:rsidRPr="00A455FD" w:rsidRDefault="0044035E" w:rsidP="006A1A41">
            <w:pPr>
              <w:spacing w:line="276" w:lineRule="auto"/>
              <w:jc w:val="center"/>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€ 205.6</w:t>
            </w:r>
          </w:p>
        </w:tc>
        <w:tc>
          <w:tcPr>
            <w:tcW w:w="898" w:type="dxa"/>
            <w:tcBorders>
              <w:top w:val="single" w:sz="4" w:space="0" w:color="auto"/>
              <w:bottom w:val="nil"/>
              <w:right w:val="single" w:sz="4" w:space="0" w:color="auto"/>
            </w:tcBorders>
            <w:shd w:val="clear" w:color="auto" w:fill="auto"/>
            <w:noWrap/>
            <w:vAlign w:val="center"/>
          </w:tcPr>
          <w:p w14:paraId="467780DD" w14:textId="77777777" w:rsidR="0044035E" w:rsidRPr="00A455FD" w:rsidRDefault="0044035E" w:rsidP="006A1A41">
            <w:pPr>
              <w:spacing w:line="276" w:lineRule="auto"/>
              <w:jc w:val="center"/>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 ( 1,316.8)</w:t>
            </w:r>
          </w:p>
        </w:tc>
        <w:tc>
          <w:tcPr>
            <w:tcW w:w="714" w:type="dxa"/>
            <w:tcBorders>
              <w:top w:val="single" w:sz="4" w:space="0" w:color="auto"/>
              <w:left w:val="single" w:sz="4" w:space="0" w:color="auto"/>
              <w:bottom w:val="nil"/>
            </w:tcBorders>
            <w:shd w:val="clear" w:color="000000" w:fill="FFFFFF"/>
            <w:vAlign w:val="center"/>
          </w:tcPr>
          <w:p w14:paraId="71977FEA" w14:textId="77777777" w:rsidR="0044035E" w:rsidRPr="00A455FD" w:rsidRDefault="0044035E" w:rsidP="006A1A41">
            <w:pPr>
              <w:spacing w:line="276" w:lineRule="auto"/>
              <w:jc w:val="center"/>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28%</w:t>
            </w:r>
          </w:p>
        </w:tc>
        <w:tc>
          <w:tcPr>
            <w:tcW w:w="703" w:type="dxa"/>
            <w:tcBorders>
              <w:top w:val="single" w:sz="4" w:space="0" w:color="auto"/>
              <w:bottom w:val="nil"/>
            </w:tcBorders>
            <w:shd w:val="clear" w:color="000000" w:fill="FFFFFF"/>
            <w:vAlign w:val="center"/>
          </w:tcPr>
          <w:p w14:paraId="5C1327D8" w14:textId="77777777" w:rsidR="0044035E" w:rsidRPr="00A455FD" w:rsidRDefault="0044035E" w:rsidP="006A1A41">
            <w:pPr>
              <w:spacing w:line="276" w:lineRule="auto"/>
              <w:jc w:val="center"/>
              <w:rPr>
                <w:rFonts w:asciiTheme="minorHAnsi" w:eastAsia="Times New Roman" w:hAnsiTheme="minorHAnsi" w:cstheme="minorHAnsi"/>
                <w:b/>
                <w:bCs/>
                <w:sz w:val="12"/>
                <w:szCs w:val="12"/>
                <w:highlight w:val="yellow"/>
                <w:lang w:eastAsia="en-GB"/>
              </w:rPr>
            </w:pPr>
            <w:r w:rsidRPr="00A455FD">
              <w:rPr>
                <w:rFonts w:asciiTheme="minorHAnsi" w:hAnsiTheme="minorHAnsi" w:cstheme="minorHAnsi"/>
                <w:b/>
                <w:bCs/>
                <w:color w:val="000000"/>
                <w:sz w:val="12"/>
                <w:szCs w:val="12"/>
              </w:rPr>
              <w:t>21%</w:t>
            </w:r>
          </w:p>
        </w:tc>
      </w:tr>
      <w:tr w:rsidR="0044035E" w:rsidRPr="00CA4A72" w14:paraId="15684CBA" w14:textId="77777777" w:rsidTr="006A1A41">
        <w:trPr>
          <w:trHeight w:val="170"/>
        </w:trPr>
        <w:tc>
          <w:tcPr>
            <w:tcW w:w="2901" w:type="dxa"/>
            <w:tcBorders>
              <w:top w:val="nil"/>
              <w:bottom w:val="nil"/>
              <w:right w:val="single" w:sz="4" w:space="0" w:color="auto"/>
            </w:tcBorders>
            <w:vAlign w:val="center"/>
            <w:hideMark/>
          </w:tcPr>
          <w:p w14:paraId="3D61E90E"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Share-based compensation expense and related social charges</w:t>
            </w:r>
          </w:p>
        </w:tc>
        <w:tc>
          <w:tcPr>
            <w:tcW w:w="775" w:type="dxa"/>
            <w:tcBorders>
              <w:top w:val="nil"/>
              <w:left w:val="single" w:sz="4" w:space="0" w:color="auto"/>
            </w:tcBorders>
            <w:shd w:val="clear" w:color="000000" w:fill="FFFFFF"/>
            <w:noWrap/>
            <w:vAlign w:val="center"/>
          </w:tcPr>
          <w:p w14:paraId="703692FA"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(103.8)</w:t>
            </w:r>
          </w:p>
        </w:tc>
        <w:tc>
          <w:tcPr>
            <w:tcW w:w="992" w:type="dxa"/>
            <w:tcBorders>
              <w:top w:val="nil"/>
            </w:tcBorders>
            <w:shd w:val="clear" w:color="000000" w:fill="FFFFFF"/>
            <w:noWrap/>
            <w:vAlign w:val="center"/>
          </w:tcPr>
          <w:p w14:paraId="78B1794D"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103.8</w:t>
            </w:r>
          </w:p>
        </w:tc>
        <w:tc>
          <w:tcPr>
            <w:tcW w:w="851" w:type="dxa"/>
            <w:tcBorders>
              <w:top w:val="nil"/>
              <w:right w:val="single" w:sz="4" w:space="0" w:color="auto"/>
            </w:tcBorders>
            <w:shd w:val="clear" w:color="000000" w:fill="FFFFFF"/>
            <w:noWrap/>
            <w:vAlign w:val="center"/>
          </w:tcPr>
          <w:p w14:paraId="4B87822C"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w:t>
            </w:r>
          </w:p>
        </w:tc>
        <w:tc>
          <w:tcPr>
            <w:tcW w:w="900" w:type="dxa"/>
            <w:tcBorders>
              <w:top w:val="nil"/>
              <w:left w:val="single" w:sz="4" w:space="0" w:color="auto"/>
            </w:tcBorders>
            <w:shd w:val="clear" w:color="auto" w:fill="auto"/>
            <w:noWrap/>
            <w:vAlign w:val="center"/>
          </w:tcPr>
          <w:p w14:paraId="2899ADEC"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(80.5)</w:t>
            </w:r>
          </w:p>
        </w:tc>
        <w:tc>
          <w:tcPr>
            <w:tcW w:w="0" w:type="auto"/>
            <w:tcBorders>
              <w:top w:val="nil"/>
            </w:tcBorders>
            <w:shd w:val="clear" w:color="auto" w:fill="auto"/>
            <w:noWrap/>
            <w:vAlign w:val="center"/>
          </w:tcPr>
          <w:p w14:paraId="2AB20BB4"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80.5</w:t>
            </w:r>
          </w:p>
        </w:tc>
        <w:tc>
          <w:tcPr>
            <w:tcW w:w="898" w:type="dxa"/>
            <w:tcBorders>
              <w:top w:val="nil"/>
              <w:right w:val="single" w:sz="4" w:space="0" w:color="auto"/>
            </w:tcBorders>
            <w:shd w:val="clear" w:color="auto" w:fill="auto"/>
            <w:noWrap/>
            <w:vAlign w:val="center"/>
          </w:tcPr>
          <w:p w14:paraId="0B77D17C"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r w:rsidRPr="00A455FD">
              <w:rPr>
                <w:rFonts w:asciiTheme="minorHAnsi" w:hAnsiTheme="minorHAnsi" w:cstheme="minorHAnsi"/>
                <w:color w:val="000000"/>
                <w:sz w:val="12"/>
                <w:szCs w:val="12"/>
              </w:rPr>
              <w:t>-</w:t>
            </w:r>
          </w:p>
        </w:tc>
        <w:tc>
          <w:tcPr>
            <w:tcW w:w="714" w:type="dxa"/>
            <w:tcBorders>
              <w:top w:val="nil"/>
              <w:left w:val="single" w:sz="4" w:space="0" w:color="auto"/>
            </w:tcBorders>
            <w:shd w:val="clear" w:color="000000" w:fill="FFFFFF"/>
            <w:noWrap/>
            <w:vAlign w:val="center"/>
          </w:tcPr>
          <w:p w14:paraId="0EAC3467"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c>
          <w:tcPr>
            <w:tcW w:w="703" w:type="dxa"/>
            <w:tcBorders>
              <w:top w:val="nil"/>
            </w:tcBorders>
            <w:shd w:val="clear" w:color="000000" w:fill="FFFFFF"/>
            <w:noWrap/>
            <w:vAlign w:val="center"/>
          </w:tcPr>
          <w:p w14:paraId="7F63094A" w14:textId="77777777" w:rsidR="0044035E" w:rsidRPr="00A455FD" w:rsidRDefault="0044035E" w:rsidP="006A1A41">
            <w:pPr>
              <w:spacing w:line="276" w:lineRule="auto"/>
              <w:jc w:val="center"/>
              <w:rPr>
                <w:rFonts w:asciiTheme="minorHAnsi" w:eastAsia="Times New Roman" w:hAnsiTheme="minorHAnsi" w:cstheme="minorHAnsi"/>
                <w:sz w:val="12"/>
                <w:szCs w:val="12"/>
                <w:highlight w:val="yellow"/>
                <w:lang w:eastAsia="en-GB"/>
              </w:rPr>
            </w:pPr>
          </w:p>
        </w:tc>
      </w:tr>
      <w:tr w:rsidR="0044035E" w:rsidRPr="00CA4A72" w14:paraId="61B0EFB3" w14:textId="77777777" w:rsidTr="006A1A41">
        <w:trPr>
          <w:trHeight w:val="170"/>
        </w:trPr>
        <w:tc>
          <w:tcPr>
            <w:tcW w:w="2901" w:type="dxa"/>
            <w:tcBorders>
              <w:top w:val="nil"/>
              <w:bottom w:val="nil"/>
              <w:right w:val="single" w:sz="4" w:space="0" w:color="auto"/>
            </w:tcBorders>
            <w:vAlign w:val="center"/>
            <w:hideMark/>
          </w:tcPr>
          <w:p w14:paraId="5D544453"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Amortization of acquired intangible assets and of tangible assets revaluation</w:t>
            </w:r>
          </w:p>
        </w:tc>
        <w:tc>
          <w:tcPr>
            <w:tcW w:w="775" w:type="dxa"/>
            <w:tcBorders>
              <w:left w:val="single" w:sz="4" w:space="0" w:color="auto"/>
            </w:tcBorders>
            <w:shd w:val="clear" w:color="000000" w:fill="FFFFFF"/>
            <w:noWrap/>
            <w:vAlign w:val="center"/>
          </w:tcPr>
          <w:p w14:paraId="04CE0C4E"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(209.9)</w:t>
            </w:r>
          </w:p>
        </w:tc>
        <w:tc>
          <w:tcPr>
            <w:tcW w:w="992" w:type="dxa"/>
            <w:shd w:val="clear" w:color="000000" w:fill="FFFFFF"/>
            <w:noWrap/>
            <w:vAlign w:val="center"/>
          </w:tcPr>
          <w:p w14:paraId="6FBAD23E"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209.9</w:t>
            </w:r>
          </w:p>
        </w:tc>
        <w:tc>
          <w:tcPr>
            <w:tcW w:w="851" w:type="dxa"/>
            <w:tcBorders>
              <w:right w:val="single" w:sz="4" w:space="0" w:color="auto"/>
            </w:tcBorders>
            <w:shd w:val="clear" w:color="000000" w:fill="FFFFFF"/>
            <w:noWrap/>
            <w:vAlign w:val="center"/>
          </w:tcPr>
          <w:p w14:paraId="6D20806B"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w:t>
            </w:r>
          </w:p>
        </w:tc>
        <w:tc>
          <w:tcPr>
            <w:tcW w:w="900" w:type="dxa"/>
            <w:tcBorders>
              <w:left w:val="single" w:sz="4" w:space="0" w:color="auto"/>
            </w:tcBorders>
            <w:shd w:val="clear" w:color="auto" w:fill="auto"/>
            <w:noWrap/>
            <w:vAlign w:val="center"/>
          </w:tcPr>
          <w:p w14:paraId="12EB784B"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(101.0)</w:t>
            </w:r>
          </w:p>
        </w:tc>
        <w:tc>
          <w:tcPr>
            <w:tcW w:w="0" w:type="auto"/>
            <w:shd w:val="clear" w:color="auto" w:fill="auto"/>
            <w:noWrap/>
            <w:vAlign w:val="center"/>
          </w:tcPr>
          <w:p w14:paraId="6E728C9E"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101.0</w:t>
            </w:r>
          </w:p>
        </w:tc>
        <w:tc>
          <w:tcPr>
            <w:tcW w:w="898" w:type="dxa"/>
            <w:tcBorders>
              <w:right w:val="single" w:sz="4" w:space="0" w:color="auto"/>
            </w:tcBorders>
            <w:shd w:val="clear" w:color="auto" w:fill="auto"/>
            <w:noWrap/>
            <w:vAlign w:val="center"/>
          </w:tcPr>
          <w:p w14:paraId="3B896C28"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w:t>
            </w:r>
          </w:p>
        </w:tc>
        <w:tc>
          <w:tcPr>
            <w:tcW w:w="714" w:type="dxa"/>
            <w:tcBorders>
              <w:left w:val="single" w:sz="4" w:space="0" w:color="auto"/>
            </w:tcBorders>
            <w:shd w:val="clear" w:color="000000" w:fill="FFFFFF"/>
            <w:noWrap/>
            <w:vAlign w:val="center"/>
          </w:tcPr>
          <w:p w14:paraId="2206FD98"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p>
        </w:tc>
        <w:tc>
          <w:tcPr>
            <w:tcW w:w="703" w:type="dxa"/>
            <w:shd w:val="clear" w:color="000000" w:fill="FFFFFF"/>
            <w:noWrap/>
            <w:vAlign w:val="center"/>
          </w:tcPr>
          <w:p w14:paraId="013B7981"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p>
        </w:tc>
      </w:tr>
      <w:tr w:rsidR="0044035E" w:rsidRPr="00CA4A72" w14:paraId="2AAA223C" w14:textId="77777777" w:rsidTr="006A1A41">
        <w:trPr>
          <w:trHeight w:val="170"/>
        </w:trPr>
        <w:tc>
          <w:tcPr>
            <w:tcW w:w="2901" w:type="dxa"/>
            <w:tcBorders>
              <w:top w:val="nil"/>
              <w:bottom w:val="nil"/>
              <w:right w:val="single" w:sz="4" w:space="0" w:color="auto"/>
            </w:tcBorders>
            <w:vAlign w:val="center"/>
          </w:tcPr>
          <w:p w14:paraId="5BE89BD0" w14:textId="77777777" w:rsidR="0044035E" w:rsidRPr="00CA4A72" w:rsidRDefault="0044035E" w:rsidP="006A1A41">
            <w:pPr>
              <w:spacing w:line="276" w:lineRule="auto"/>
              <w:rPr>
                <w:rFonts w:asciiTheme="minorHAnsi" w:hAnsiTheme="minorHAnsi" w:cstheme="minorHAnsi"/>
                <w:sz w:val="12"/>
                <w:szCs w:val="12"/>
              </w:rPr>
            </w:pPr>
            <w:r w:rsidRPr="00CA4A72">
              <w:rPr>
                <w:rFonts w:asciiTheme="minorHAnsi" w:hAnsiTheme="minorHAnsi" w:cstheme="minorHAnsi"/>
                <w:sz w:val="12"/>
                <w:szCs w:val="12"/>
              </w:rPr>
              <w:t>Lease incentives of acquired companies</w:t>
            </w:r>
          </w:p>
        </w:tc>
        <w:tc>
          <w:tcPr>
            <w:tcW w:w="775" w:type="dxa"/>
            <w:tcBorders>
              <w:left w:val="single" w:sz="4" w:space="0" w:color="auto"/>
            </w:tcBorders>
            <w:shd w:val="clear" w:color="000000" w:fill="FFFFFF"/>
            <w:noWrap/>
            <w:vAlign w:val="center"/>
          </w:tcPr>
          <w:p w14:paraId="05AE748D"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(1.5)</w:t>
            </w:r>
          </w:p>
        </w:tc>
        <w:tc>
          <w:tcPr>
            <w:tcW w:w="992" w:type="dxa"/>
            <w:shd w:val="clear" w:color="000000" w:fill="FFFFFF"/>
            <w:noWrap/>
            <w:vAlign w:val="center"/>
          </w:tcPr>
          <w:p w14:paraId="10B9ED9D"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1.5</w:t>
            </w:r>
          </w:p>
        </w:tc>
        <w:tc>
          <w:tcPr>
            <w:tcW w:w="851" w:type="dxa"/>
            <w:tcBorders>
              <w:right w:val="single" w:sz="4" w:space="0" w:color="auto"/>
            </w:tcBorders>
            <w:shd w:val="clear" w:color="000000" w:fill="FFFFFF"/>
            <w:noWrap/>
            <w:vAlign w:val="center"/>
          </w:tcPr>
          <w:p w14:paraId="47DD4FD7"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w:t>
            </w:r>
          </w:p>
        </w:tc>
        <w:tc>
          <w:tcPr>
            <w:tcW w:w="900" w:type="dxa"/>
            <w:tcBorders>
              <w:left w:val="single" w:sz="4" w:space="0" w:color="auto"/>
            </w:tcBorders>
            <w:shd w:val="clear" w:color="auto" w:fill="auto"/>
            <w:noWrap/>
            <w:vAlign w:val="center"/>
          </w:tcPr>
          <w:p w14:paraId="104CC09A" w14:textId="77777777" w:rsidR="0044035E" w:rsidRPr="00A455FD" w:rsidRDefault="0044035E" w:rsidP="006A1A41">
            <w:pPr>
              <w:spacing w:line="276" w:lineRule="auto"/>
              <w:jc w:val="center"/>
              <w:rPr>
                <w:rFonts w:asciiTheme="minorHAnsi" w:hAnsiTheme="minorHAnsi" w:cstheme="minorHAnsi"/>
                <w:sz w:val="12"/>
                <w:szCs w:val="12"/>
              </w:rPr>
            </w:pPr>
            <w:r w:rsidRPr="00A455FD">
              <w:rPr>
                <w:rFonts w:asciiTheme="minorHAnsi" w:hAnsiTheme="minorHAnsi" w:cstheme="minorHAnsi"/>
                <w:color w:val="000000"/>
                <w:sz w:val="12"/>
                <w:szCs w:val="12"/>
              </w:rPr>
              <w:t>-</w:t>
            </w:r>
          </w:p>
        </w:tc>
        <w:tc>
          <w:tcPr>
            <w:tcW w:w="0" w:type="auto"/>
            <w:shd w:val="clear" w:color="auto" w:fill="auto"/>
            <w:noWrap/>
            <w:vAlign w:val="center"/>
          </w:tcPr>
          <w:p w14:paraId="6B859116" w14:textId="77777777" w:rsidR="0044035E" w:rsidRPr="00A455FD" w:rsidRDefault="0044035E" w:rsidP="006A1A41">
            <w:pPr>
              <w:spacing w:line="276" w:lineRule="auto"/>
              <w:jc w:val="center"/>
              <w:rPr>
                <w:rFonts w:asciiTheme="minorHAnsi" w:hAnsiTheme="minorHAnsi" w:cstheme="minorHAnsi"/>
                <w:sz w:val="12"/>
                <w:szCs w:val="12"/>
              </w:rPr>
            </w:pPr>
            <w:r w:rsidRPr="00A455FD">
              <w:rPr>
                <w:rFonts w:asciiTheme="minorHAnsi" w:hAnsiTheme="minorHAnsi" w:cstheme="minorHAnsi"/>
                <w:color w:val="000000"/>
                <w:sz w:val="12"/>
                <w:szCs w:val="12"/>
              </w:rPr>
              <w:t>-</w:t>
            </w:r>
          </w:p>
        </w:tc>
        <w:tc>
          <w:tcPr>
            <w:tcW w:w="898" w:type="dxa"/>
            <w:tcBorders>
              <w:right w:val="single" w:sz="4" w:space="0" w:color="auto"/>
            </w:tcBorders>
            <w:shd w:val="clear" w:color="auto" w:fill="auto"/>
            <w:noWrap/>
            <w:vAlign w:val="center"/>
          </w:tcPr>
          <w:p w14:paraId="7E1BDB38" w14:textId="77777777" w:rsidR="0044035E" w:rsidRPr="00A455FD" w:rsidRDefault="0044035E" w:rsidP="006A1A41">
            <w:pPr>
              <w:spacing w:line="276" w:lineRule="auto"/>
              <w:jc w:val="center"/>
              <w:rPr>
                <w:rFonts w:asciiTheme="minorHAnsi" w:hAnsiTheme="minorHAnsi" w:cstheme="minorHAnsi"/>
                <w:sz w:val="12"/>
                <w:szCs w:val="12"/>
              </w:rPr>
            </w:pPr>
            <w:r w:rsidRPr="00A455FD">
              <w:rPr>
                <w:rFonts w:asciiTheme="minorHAnsi" w:hAnsiTheme="minorHAnsi" w:cstheme="minorHAnsi"/>
                <w:color w:val="000000"/>
                <w:sz w:val="12"/>
                <w:szCs w:val="12"/>
              </w:rPr>
              <w:t>-</w:t>
            </w:r>
          </w:p>
        </w:tc>
        <w:tc>
          <w:tcPr>
            <w:tcW w:w="714" w:type="dxa"/>
            <w:tcBorders>
              <w:left w:val="single" w:sz="4" w:space="0" w:color="auto"/>
            </w:tcBorders>
            <w:shd w:val="clear" w:color="000000" w:fill="FFFFFF"/>
            <w:noWrap/>
            <w:vAlign w:val="center"/>
          </w:tcPr>
          <w:p w14:paraId="0DB5F8A5"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p>
        </w:tc>
        <w:tc>
          <w:tcPr>
            <w:tcW w:w="703" w:type="dxa"/>
            <w:shd w:val="clear" w:color="000000" w:fill="FFFFFF"/>
            <w:noWrap/>
            <w:vAlign w:val="center"/>
          </w:tcPr>
          <w:p w14:paraId="19108AD1"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p>
        </w:tc>
      </w:tr>
      <w:tr w:rsidR="0044035E" w:rsidRPr="00CA4A72" w14:paraId="436BA5B3" w14:textId="77777777" w:rsidTr="006A1A41">
        <w:trPr>
          <w:trHeight w:val="170"/>
        </w:trPr>
        <w:tc>
          <w:tcPr>
            <w:tcW w:w="2901" w:type="dxa"/>
            <w:tcBorders>
              <w:top w:val="nil"/>
              <w:bottom w:val="single" w:sz="4" w:space="0" w:color="auto"/>
              <w:right w:val="single" w:sz="4" w:space="0" w:color="auto"/>
            </w:tcBorders>
            <w:vAlign w:val="center"/>
            <w:hideMark/>
          </w:tcPr>
          <w:p w14:paraId="5BF01503"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Other operating income and expense, net</w:t>
            </w:r>
          </w:p>
        </w:tc>
        <w:tc>
          <w:tcPr>
            <w:tcW w:w="775" w:type="dxa"/>
            <w:tcBorders>
              <w:left w:val="single" w:sz="4" w:space="0" w:color="auto"/>
              <w:bottom w:val="single" w:sz="4" w:space="0" w:color="auto"/>
            </w:tcBorders>
            <w:shd w:val="clear" w:color="000000" w:fill="FFFFFF"/>
            <w:noWrap/>
            <w:vAlign w:val="center"/>
          </w:tcPr>
          <w:p w14:paraId="2462FD4B"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(31.8)</w:t>
            </w:r>
          </w:p>
        </w:tc>
        <w:tc>
          <w:tcPr>
            <w:tcW w:w="992" w:type="dxa"/>
            <w:tcBorders>
              <w:bottom w:val="single" w:sz="4" w:space="0" w:color="auto"/>
            </w:tcBorders>
            <w:shd w:val="clear" w:color="000000" w:fill="FFFFFF"/>
            <w:noWrap/>
            <w:vAlign w:val="center"/>
          </w:tcPr>
          <w:p w14:paraId="049BDAA0"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31.8</w:t>
            </w:r>
          </w:p>
        </w:tc>
        <w:tc>
          <w:tcPr>
            <w:tcW w:w="851" w:type="dxa"/>
            <w:tcBorders>
              <w:bottom w:val="single" w:sz="4" w:space="0" w:color="auto"/>
              <w:right w:val="single" w:sz="4" w:space="0" w:color="auto"/>
            </w:tcBorders>
            <w:shd w:val="clear" w:color="000000" w:fill="FFFFFF"/>
            <w:noWrap/>
            <w:vAlign w:val="center"/>
          </w:tcPr>
          <w:p w14:paraId="6A1EDE53"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w:t>
            </w:r>
          </w:p>
        </w:tc>
        <w:tc>
          <w:tcPr>
            <w:tcW w:w="900" w:type="dxa"/>
            <w:tcBorders>
              <w:left w:val="single" w:sz="4" w:space="0" w:color="auto"/>
              <w:bottom w:val="single" w:sz="4" w:space="0" w:color="auto"/>
            </w:tcBorders>
            <w:shd w:val="clear" w:color="auto" w:fill="auto"/>
            <w:noWrap/>
            <w:vAlign w:val="center"/>
          </w:tcPr>
          <w:p w14:paraId="3D440AD1"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(24.0)</w:t>
            </w:r>
          </w:p>
        </w:tc>
        <w:tc>
          <w:tcPr>
            <w:tcW w:w="0" w:type="auto"/>
            <w:tcBorders>
              <w:bottom w:val="single" w:sz="4" w:space="0" w:color="auto"/>
            </w:tcBorders>
            <w:shd w:val="clear" w:color="auto" w:fill="auto"/>
            <w:noWrap/>
            <w:vAlign w:val="center"/>
          </w:tcPr>
          <w:p w14:paraId="765FC6A5"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24.0</w:t>
            </w:r>
          </w:p>
        </w:tc>
        <w:tc>
          <w:tcPr>
            <w:tcW w:w="898" w:type="dxa"/>
            <w:tcBorders>
              <w:bottom w:val="single" w:sz="4" w:space="0" w:color="auto"/>
              <w:right w:val="single" w:sz="4" w:space="0" w:color="auto"/>
            </w:tcBorders>
            <w:shd w:val="clear" w:color="auto" w:fill="auto"/>
            <w:noWrap/>
            <w:vAlign w:val="center"/>
          </w:tcPr>
          <w:p w14:paraId="53549629"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w:t>
            </w:r>
          </w:p>
        </w:tc>
        <w:tc>
          <w:tcPr>
            <w:tcW w:w="714" w:type="dxa"/>
            <w:tcBorders>
              <w:left w:val="single" w:sz="4" w:space="0" w:color="auto"/>
              <w:bottom w:val="single" w:sz="4" w:space="0" w:color="auto"/>
            </w:tcBorders>
            <w:shd w:val="clear" w:color="000000" w:fill="FFFFFF"/>
            <w:noWrap/>
            <w:vAlign w:val="center"/>
          </w:tcPr>
          <w:p w14:paraId="6F118439"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p>
        </w:tc>
        <w:tc>
          <w:tcPr>
            <w:tcW w:w="703" w:type="dxa"/>
            <w:tcBorders>
              <w:bottom w:val="single" w:sz="4" w:space="0" w:color="auto"/>
            </w:tcBorders>
            <w:shd w:val="clear" w:color="000000" w:fill="FFFFFF"/>
            <w:noWrap/>
            <w:vAlign w:val="center"/>
          </w:tcPr>
          <w:p w14:paraId="0E0A7D0A"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p>
        </w:tc>
      </w:tr>
      <w:tr w:rsidR="0044035E" w:rsidRPr="00CA4A72" w14:paraId="048315D9" w14:textId="77777777" w:rsidTr="006A1A41">
        <w:trPr>
          <w:trHeight w:val="170"/>
        </w:trPr>
        <w:tc>
          <w:tcPr>
            <w:tcW w:w="2901" w:type="dxa"/>
            <w:tcBorders>
              <w:top w:val="single" w:sz="4" w:space="0" w:color="auto"/>
              <w:bottom w:val="nil"/>
              <w:right w:val="single" w:sz="4" w:space="0" w:color="auto"/>
            </w:tcBorders>
            <w:vAlign w:val="center"/>
            <w:hideMark/>
          </w:tcPr>
          <w:p w14:paraId="13C09F4B" w14:textId="77777777" w:rsidR="0044035E" w:rsidRPr="00CA4A72" w:rsidRDefault="0044035E" w:rsidP="006A1A41">
            <w:pPr>
              <w:spacing w:line="276" w:lineRule="auto"/>
              <w:rPr>
                <w:rFonts w:asciiTheme="minorHAnsi" w:eastAsia="Times New Roman" w:hAnsiTheme="minorHAnsi" w:cstheme="minorHAnsi"/>
                <w:b/>
                <w:bCs/>
                <w:sz w:val="12"/>
                <w:szCs w:val="12"/>
                <w:lang w:eastAsia="en-GB"/>
              </w:rPr>
            </w:pPr>
            <w:r w:rsidRPr="00CA4A72">
              <w:rPr>
                <w:rFonts w:asciiTheme="minorHAnsi" w:hAnsiTheme="minorHAnsi" w:cstheme="minorHAnsi"/>
                <w:b/>
                <w:bCs/>
                <w:sz w:val="12"/>
                <w:szCs w:val="12"/>
              </w:rPr>
              <w:t>Operating Income</w:t>
            </w:r>
          </w:p>
        </w:tc>
        <w:tc>
          <w:tcPr>
            <w:tcW w:w="775" w:type="dxa"/>
            <w:tcBorders>
              <w:top w:val="single" w:sz="4" w:space="0" w:color="auto"/>
              <w:left w:val="single" w:sz="4" w:space="0" w:color="auto"/>
              <w:bottom w:val="nil"/>
            </w:tcBorders>
            <w:shd w:val="clear" w:color="000000" w:fill="FFFFFF"/>
            <w:noWrap/>
            <w:vAlign w:val="center"/>
          </w:tcPr>
          <w:p w14:paraId="5FABBCDD"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€ 261.7</w:t>
            </w:r>
          </w:p>
        </w:tc>
        <w:tc>
          <w:tcPr>
            <w:tcW w:w="992" w:type="dxa"/>
            <w:tcBorders>
              <w:top w:val="single" w:sz="4" w:space="0" w:color="auto"/>
              <w:bottom w:val="nil"/>
            </w:tcBorders>
            <w:shd w:val="clear" w:color="000000" w:fill="FFFFFF"/>
            <w:noWrap/>
            <w:vAlign w:val="center"/>
          </w:tcPr>
          <w:p w14:paraId="5A79421A"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€ 358.7</w:t>
            </w:r>
          </w:p>
        </w:tc>
        <w:tc>
          <w:tcPr>
            <w:tcW w:w="851" w:type="dxa"/>
            <w:tcBorders>
              <w:top w:val="single" w:sz="4" w:space="0" w:color="auto"/>
              <w:bottom w:val="nil"/>
              <w:right w:val="single" w:sz="4" w:space="0" w:color="auto"/>
            </w:tcBorders>
            <w:shd w:val="clear" w:color="000000" w:fill="FFFFFF"/>
            <w:noWrap/>
            <w:vAlign w:val="center"/>
          </w:tcPr>
          <w:p w14:paraId="78E9B4C9"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€ 620.4</w:t>
            </w:r>
          </w:p>
        </w:tc>
        <w:tc>
          <w:tcPr>
            <w:tcW w:w="900" w:type="dxa"/>
            <w:tcBorders>
              <w:top w:val="single" w:sz="4" w:space="0" w:color="auto"/>
              <w:left w:val="single" w:sz="4" w:space="0" w:color="auto"/>
              <w:bottom w:val="nil"/>
            </w:tcBorders>
            <w:shd w:val="clear" w:color="auto" w:fill="auto"/>
            <w:noWrap/>
            <w:vAlign w:val="center"/>
          </w:tcPr>
          <w:p w14:paraId="38C97EF4"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€ 397.9</w:t>
            </w:r>
          </w:p>
        </w:tc>
        <w:tc>
          <w:tcPr>
            <w:tcW w:w="0" w:type="auto"/>
            <w:tcBorders>
              <w:top w:val="single" w:sz="4" w:space="0" w:color="auto"/>
              <w:bottom w:val="nil"/>
            </w:tcBorders>
            <w:shd w:val="clear" w:color="auto" w:fill="auto"/>
            <w:noWrap/>
            <w:vAlign w:val="center"/>
          </w:tcPr>
          <w:p w14:paraId="25181AE7"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€ 214.7</w:t>
            </w:r>
          </w:p>
        </w:tc>
        <w:tc>
          <w:tcPr>
            <w:tcW w:w="898" w:type="dxa"/>
            <w:tcBorders>
              <w:top w:val="single" w:sz="4" w:space="0" w:color="auto"/>
              <w:bottom w:val="nil"/>
              <w:right w:val="single" w:sz="4" w:space="0" w:color="auto"/>
            </w:tcBorders>
            <w:shd w:val="clear" w:color="auto" w:fill="auto"/>
            <w:noWrap/>
            <w:vAlign w:val="center"/>
          </w:tcPr>
          <w:p w14:paraId="28CCD59A"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€ 612.6</w:t>
            </w:r>
          </w:p>
        </w:tc>
        <w:tc>
          <w:tcPr>
            <w:tcW w:w="714" w:type="dxa"/>
            <w:tcBorders>
              <w:top w:val="single" w:sz="4" w:space="0" w:color="auto"/>
              <w:left w:val="single" w:sz="4" w:space="0" w:color="auto"/>
              <w:bottom w:val="nil"/>
            </w:tcBorders>
            <w:shd w:val="clear" w:color="000000" w:fill="FFFFFF"/>
            <w:vAlign w:val="center"/>
          </w:tcPr>
          <w:p w14:paraId="552B4BF0"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(34)%</w:t>
            </w:r>
          </w:p>
        </w:tc>
        <w:tc>
          <w:tcPr>
            <w:tcW w:w="703" w:type="dxa"/>
            <w:tcBorders>
              <w:top w:val="single" w:sz="4" w:space="0" w:color="auto"/>
              <w:bottom w:val="nil"/>
            </w:tcBorders>
            <w:shd w:val="clear" w:color="000000" w:fill="FFFFFF"/>
            <w:vAlign w:val="center"/>
          </w:tcPr>
          <w:p w14:paraId="790D0B9A"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1%</w:t>
            </w:r>
          </w:p>
        </w:tc>
      </w:tr>
      <w:tr w:rsidR="0044035E" w:rsidRPr="00CA4A72" w14:paraId="3F7DF203" w14:textId="77777777" w:rsidTr="006A1A41">
        <w:trPr>
          <w:trHeight w:val="170"/>
        </w:trPr>
        <w:tc>
          <w:tcPr>
            <w:tcW w:w="2901" w:type="dxa"/>
            <w:tcBorders>
              <w:top w:val="nil"/>
              <w:bottom w:val="nil"/>
              <w:right w:val="single" w:sz="4" w:space="0" w:color="auto"/>
            </w:tcBorders>
            <w:vAlign w:val="center"/>
            <w:hideMark/>
          </w:tcPr>
          <w:p w14:paraId="33E9E5E6" w14:textId="77777777" w:rsidR="0044035E" w:rsidRPr="00CA4A72" w:rsidRDefault="0044035E" w:rsidP="006A1A41">
            <w:pPr>
              <w:spacing w:line="276" w:lineRule="auto"/>
              <w:rPr>
                <w:rFonts w:asciiTheme="minorHAnsi" w:eastAsia="Times New Roman" w:hAnsiTheme="minorHAnsi" w:cstheme="minorHAnsi"/>
                <w:b/>
                <w:bCs/>
                <w:sz w:val="12"/>
                <w:szCs w:val="12"/>
                <w:lang w:eastAsia="en-GB"/>
              </w:rPr>
            </w:pPr>
            <w:r w:rsidRPr="00CA4A72">
              <w:rPr>
                <w:rFonts w:asciiTheme="minorHAnsi" w:hAnsiTheme="minorHAnsi" w:cstheme="minorHAnsi"/>
                <w:b/>
                <w:bCs/>
                <w:sz w:val="12"/>
                <w:szCs w:val="12"/>
              </w:rPr>
              <w:t xml:space="preserve">Operating Margin </w:t>
            </w:r>
          </w:p>
        </w:tc>
        <w:tc>
          <w:tcPr>
            <w:tcW w:w="775" w:type="dxa"/>
            <w:tcBorders>
              <w:top w:val="nil"/>
              <w:left w:val="single" w:sz="4" w:space="0" w:color="auto"/>
            </w:tcBorders>
            <w:shd w:val="clear" w:color="000000" w:fill="FFFFFF"/>
            <w:noWrap/>
            <w:vAlign w:val="center"/>
          </w:tcPr>
          <w:p w14:paraId="2F2567A5"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11.9%</w:t>
            </w:r>
          </w:p>
        </w:tc>
        <w:tc>
          <w:tcPr>
            <w:tcW w:w="992" w:type="dxa"/>
            <w:tcBorders>
              <w:top w:val="nil"/>
            </w:tcBorders>
            <w:shd w:val="clear" w:color="000000" w:fill="FFFFFF"/>
            <w:noWrap/>
            <w:vAlign w:val="center"/>
          </w:tcPr>
          <w:p w14:paraId="4905FC88"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p>
        </w:tc>
        <w:tc>
          <w:tcPr>
            <w:tcW w:w="851" w:type="dxa"/>
            <w:tcBorders>
              <w:top w:val="nil"/>
              <w:right w:val="single" w:sz="4" w:space="0" w:color="auto"/>
            </w:tcBorders>
            <w:shd w:val="clear" w:color="000000" w:fill="FFFFFF"/>
            <w:noWrap/>
            <w:vAlign w:val="center"/>
          </w:tcPr>
          <w:p w14:paraId="05B5D436"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28.0%</w:t>
            </w:r>
          </w:p>
        </w:tc>
        <w:tc>
          <w:tcPr>
            <w:tcW w:w="900" w:type="dxa"/>
            <w:tcBorders>
              <w:top w:val="nil"/>
              <w:left w:val="single" w:sz="4" w:space="0" w:color="auto"/>
            </w:tcBorders>
            <w:shd w:val="clear" w:color="000000" w:fill="FFFFFF"/>
            <w:noWrap/>
            <w:vAlign w:val="center"/>
          </w:tcPr>
          <w:p w14:paraId="2B9AD730"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20.7%</w:t>
            </w:r>
          </w:p>
        </w:tc>
        <w:tc>
          <w:tcPr>
            <w:tcW w:w="0" w:type="auto"/>
            <w:tcBorders>
              <w:top w:val="nil"/>
            </w:tcBorders>
            <w:shd w:val="clear" w:color="000000" w:fill="FFFFFF"/>
            <w:noWrap/>
            <w:vAlign w:val="center"/>
          </w:tcPr>
          <w:p w14:paraId="6E3E0F6C"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p>
        </w:tc>
        <w:tc>
          <w:tcPr>
            <w:tcW w:w="898" w:type="dxa"/>
            <w:tcBorders>
              <w:top w:val="nil"/>
              <w:right w:val="single" w:sz="4" w:space="0" w:color="auto"/>
            </w:tcBorders>
            <w:shd w:val="clear" w:color="000000" w:fill="FFFFFF"/>
            <w:noWrap/>
            <w:vAlign w:val="center"/>
          </w:tcPr>
          <w:p w14:paraId="5DE28AE8"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31.8%</w:t>
            </w:r>
          </w:p>
        </w:tc>
        <w:tc>
          <w:tcPr>
            <w:tcW w:w="714" w:type="dxa"/>
            <w:tcBorders>
              <w:top w:val="nil"/>
              <w:left w:val="single" w:sz="4" w:space="0" w:color="auto"/>
            </w:tcBorders>
            <w:shd w:val="clear" w:color="000000" w:fill="FFFFFF"/>
            <w:vAlign w:val="center"/>
          </w:tcPr>
          <w:p w14:paraId="56F7DD0B"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p>
        </w:tc>
        <w:tc>
          <w:tcPr>
            <w:tcW w:w="703" w:type="dxa"/>
            <w:tcBorders>
              <w:top w:val="nil"/>
            </w:tcBorders>
            <w:shd w:val="clear" w:color="000000" w:fill="FFFFFF"/>
            <w:vAlign w:val="center"/>
          </w:tcPr>
          <w:p w14:paraId="7DE7C503"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p>
        </w:tc>
      </w:tr>
      <w:tr w:rsidR="0044035E" w:rsidRPr="00CA4A72" w14:paraId="75D93592" w14:textId="77777777" w:rsidTr="006A1A41">
        <w:trPr>
          <w:trHeight w:val="170"/>
        </w:trPr>
        <w:tc>
          <w:tcPr>
            <w:tcW w:w="2901" w:type="dxa"/>
            <w:tcBorders>
              <w:top w:val="nil"/>
              <w:bottom w:val="nil"/>
              <w:right w:val="single" w:sz="4" w:space="0" w:color="auto"/>
            </w:tcBorders>
            <w:vAlign w:val="center"/>
            <w:hideMark/>
          </w:tcPr>
          <w:p w14:paraId="5DBA228C"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r w:rsidRPr="007F7C5D">
              <w:rPr>
                <w:rFonts w:asciiTheme="minorHAnsi" w:hAnsiTheme="minorHAnsi" w:cstheme="minorHAnsi"/>
                <w:sz w:val="12"/>
                <w:szCs w:val="12"/>
              </w:rPr>
              <w:t>Financial income (loss), net</w:t>
            </w:r>
          </w:p>
        </w:tc>
        <w:tc>
          <w:tcPr>
            <w:tcW w:w="775" w:type="dxa"/>
            <w:tcBorders>
              <w:left w:val="single" w:sz="4" w:space="0" w:color="auto"/>
            </w:tcBorders>
            <w:shd w:val="clear" w:color="000000" w:fill="FFFFFF"/>
            <w:noWrap/>
            <w:vAlign w:val="center"/>
          </w:tcPr>
          <w:p w14:paraId="48CC3D4F"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(13.0)</w:t>
            </w:r>
          </w:p>
        </w:tc>
        <w:tc>
          <w:tcPr>
            <w:tcW w:w="992" w:type="dxa"/>
            <w:shd w:val="clear" w:color="000000" w:fill="FFFFFF"/>
            <w:noWrap/>
            <w:vAlign w:val="center"/>
          </w:tcPr>
          <w:p w14:paraId="5E58E17B"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0.5</w:t>
            </w:r>
          </w:p>
        </w:tc>
        <w:tc>
          <w:tcPr>
            <w:tcW w:w="851" w:type="dxa"/>
            <w:tcBorders>
              <w:right w:val="single" w:sz="4" w:space="0" w:color="auto"/>
            </w:tcBorders>
            <w:shd w:val="clear" w:color="000000" w:fill="FFFFFF"/>
            <w:noWrap/>
            <w:vAlign w:val="center"/>
          </w:tcPr>
          <w:p w14:paraId="12CF0719"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(12.5)</w:t>
            </w:r>
          </w:p>
        </w:tc>
        <w:tc>
          <w:tcPr>
            <w:tcW w:w="900" w:type="dxa"/>
            <w:tcBorders>
              <w:left w:val="single" w:sz="4" w:space="0" w:color="auto"/>
            </w:tcBorders>
            <w:shd w:val="clear" w:color="000000" w:fill="FFFFFF"/>
            <w:noWrap/>
            <w:vAlign w:val="center"/>
          </w:tcPr>
          <w:p w14:paraId="2B5014A3"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5.3</w:t>
            </w:r>
          </w:p>
        </w:tc>
        <w:tc>
          <w:tcPr>
            <w:tcW w:w="0" w:type="auto"/>
            <w:shd w:val="clear" w:color="000000" w:fill="FFFFFF"/>
            <w:noWrap/>
            <w:vAlign w:val="center"/>
          </w:tcPr>
          <w:p w14:paraId="3A3480CA"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(1.2)</w:t>
            </w:r>
          </w:p>
        </w:tc>
        <w:tc>
          <w:tcPr>
            <w:tcW w:w="898" w:type="dxa"/>
            <w:tcBorders>
              <w:right w:val="single" w:sz="4" w:space="0" w:color="auto"/>
            </w:tcBorders>
            <w:shd w:val="clear" w:color="000000" w:fill="FFFFFF"/>
            <w:noWrap/>
            <w:vAlign w:val="center"/>
          </w:tcPr>
          <w:p w14:paraId="0B3D9B7B"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4.1</w:t>
            </w:r>
          </w:p>
        </w:tc>
        <w:tc>
          <w:tcPr>
            <w:tcW w:w="714" w:type="dxa"/>
            <w:tcBorders>
              <w:left w:val="single" w:sz="4" w:space="0" w:color="auto"/>
            </w:tcBorders>
            <w:shd w:val="clear" w:color="000000" w:fill="FFFFFF"/>
            <w:vAlign w:val="center"/>
          </w:tcPr>
          <w:p w14:paraId="558265D8"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(344)%</w:t>
            </w:r>
          </w:p>
        </w:tc>
        <w:tc>
          <w:tcPr>
            <w:tcW w:w="703" w:type="dxa"/>
            <w:shd w:val="clear" w:color="000000" w:fill="FFFFFF"/>
            <w:vAlign w:val="center"/>
          </w:tcPr>
          <w:p w14:paraId="0689F719"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(402)%</w:t>
            </w:r>
          </w:p>
        </w:tc>
      </w:tr>
      <w:tr w:rsidR="0044035E" w:rsidRPr="00CA4A72" w14:paraId="4A2C5D1F" w14:textId="77777777" w:rsidTr="006A1A41">
        <w:trPr>
          <w:trHeight w:val="170"/>
        </w:trPr>
        <w:tc>
          <w:tcPr>
            <w:tcW w:w="2901" w:type="dxa"/>
            <w:tcBorders>
              <w:top w:val="nil"/>
              <w:bottom w:val="nil"/>
              <w:right w:val="single" w:sz="4" w:space="0" w:color="auto"/>
            </w:tcBorders>
            <w:vAlign w:val="center"/>
            <w:hideMark/>
          </w:tcPr>
          <w:p w14:paraId="28E92AC9"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Income tax expense</w:t>
            </w:r>
          </w:p>
        </w:tc>
        <w:tc>
          <w:tcPr>
            <w:tcW w:w="775" w:type="dxa"/>
            <w:tcBorders>
              <w:left w:val="single" w:sz="4" w:space="0" w:color="auto"/>
            </w:tcBorders>
            <w:shd w:val="clear" w:color="000000" w:fill="FFFFFF"/>
            <w:noWrap/>
            <w:vAlign w:val="center"/>
          </w:tcPr>
          <w:p w14:paraId="141B2788"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(59.4)</w:t>
            </w:r>
          </w:p>
        </w:tc>
        <w:tc>
          <w:tcPr>
            <w:tcW w:w="992" w:type="dxa"/>
            <w:shd w:val="clear" w:color="000000" w:fill="FFFFFF"/>
            <w:noWrap/>
            <w:vAlign w:val="center"/>
          </w:tcPr>
          <w:p w14:paraId="70C83CF5"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(90.7)</w:t>
            </w:r>
          </w:p>
        </w:tc>
        <w:tc>
          <w:tcPr>
            <w:tcW w:w="851" w:type="dxa"/>
            <w:tcBorders>
              <w:right w:val="single" w:sz="4" w:space="0" w:color="auto"/>
            </w:tcBorders>
            <w:shd w:val="clear" w:color="000000" w:fill="FFFFFF"/>
            <w:noWrap/>
            <w:vAlign w:val="center"/>
          </w:tcPr>
          <w:p w14:paraId="4CD777D1"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(150.1)</w:t>
            </w:r>
          </w:p>
        </w:tc>
        <w:tc>
          <w:tcPr>
            <w:tcW w:w="900" w:type="dxa"/>
            <w:tcBorders>
              <w:left w:val="single" w:sz="4" w:space="0" w:color="auto"/>
            </w:tcBorders>
            <w:shd w:val="clear" w:color="000000" w:fill="FFFFFF"/>
            <w:noWrap/>
            <w:vAlign w:val="center"/>
          </w:tcPr>
          <w:p w14:paraId="011C6DAA"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(114.0)</w:t>
            </w:r>
          </w:p>
        </w:tc>
        <w:tc>
          <w:tcPr>
            <w:tcW w:w="0" w:type="auto"/>
            <w:shd w:val="clear" w:color="000000" w:fill="FFFFFF"/>
            <w:noWrap/>
            <w:vAlign w:val="center"/>
          </w:tcPr>
          <w:p w14:paraId="3AA7B2FA"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(64.5)</w:t>
            </w:r>
          </w:p>
        </w:tc>
        <w:tc>
          <w:tcPr>
            <w:tcW w:w="898" w:type="dxa"/>
            <w:tcBorders>
              <w:right w:val="single" w:sz="4" w:space="0" w:color="auto"/>
            </w:tcBorders>
            <w:shd w:val="clear" w:color="000000" w:fill="FFFFFF"/>
            <w:noWrap/>
            <w:vAlign w:val="center"/>
          </w:tcPr>
          <w:p w14:paraId="4E89FEB5"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(178.5)</w:t>
            </w:r>
          </w:p>
        </w:tc>
        <w:tc>
          <w:tcPr>
            <w:tcW w:w="714" w:type="dxa"/>
            <w:tcBorders>
              <w:left w:val="single" w:sz="4" w:space="0" w:color="auto"/>
            </w:tcBorders>
            <w:shd w:val="clear" w:color="000000" w:fill="FFFFFF"/>
            <w:vAlign w:val="center"/>
          </w:tcPr>
          <w:p w14:paraId="1EFD3B8D"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(48)%</w:t>
            </w:r>
          </w:p>
        </w:tc>
        <w:tc>
          <w:tcPr>
            <w:tcW w:w="703" w:type="dxa"/>
            <w:shd w:val="clear" w:color="000000" w:fill="FFFFFF"/>
            <w:vAlign w:val="center"/>
          </w:tcPr>
          <w:p w14:paraId="73E242DF"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(16)%</w:t>
            </w:r>
          </w:p>
        </w:tc>
      </w:tr>
      <w:tr w:rsidR="0044035E" w:rsidRPr="00CA4A72" w14:paraId="63A8897D" w14:textId="77777777" w:rsidTr="006A1A41">
        <w:trPr>
          <w:trHeight w:val="170"/>
        </w:trPr>
        <w:tc>
          <w:tcPr>
            <w:tcW w:w="2901" w:type="dxa"/>
            <w:tcBorders>
              <w:top w:val="nil"/>
              <w:bottom w:val="nil"/>
              <w:right w:val="single" w:sz="4" w:space="0" w:color="auto"/>
            </w:tcBorders>
            <w:vAlign w:val="center"/>
            <w:hideMark/>
          </w:tcPr>
          <w:p w14:paraId="22FD4EB2"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Non-controlling interest</w:t>
            </w:r>
          </w:p>
        </w:tc>
        <w:tc>
          <w:tcPr>
            <w:tcW w:w="775" w:type="dxa"/>
            <w:tcBorders>
              <w:left w:val="single" w:sz="4" w:space="0" w:color="auto"/>
            </w:tcBorders>
            <w:shd w:val="clear" w:color="000000" w:fill="FFFFFF"/>
            <w:noWrap/>
            <w:vAlign w:val="center"/>
          </w:tcPr>
          <w:p w14:paraId="6AC0D3BC"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6.1</w:t>
            </w:r>
          </w:p>
        </w:tc>
        <w:tc>
          <w:tcPr>
            <w:tcW w:w="992" w:type="dxa"/>
            <w:shd w:val="clear" w:color="000000" w:fill="FFFFFF"/>
            <w:noWrap/>
            <w:vAlign w:val="center"/>
          </w:tcPr>
          <w:p w14:paraId="0287C1AC"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(2.6)</w:t>
            </w:r>
          </w:p>
        </w:tc>
        <w:tc>
          <w:tcPr>
            <w:tcW w:w="851" w:type="dxa"/>
            <w:tcBorders>
              <w:right w:val="single" w:sz="4" w:space="0" w:color="auto"/>
            </w:tcBorders>
            <w:shd w:val="clear" w:color="000000" w:fill="FFFFFF"/>
            <w:noWrap/>
            <w:vAlign w:val="center"/>
          </w:tcPr>
          <w:p w14:paraId="2D1D85F4"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3.5</w:t>
            </w:r>
          </w:p>
        </w:tc>
        <w:tc>
          <w:tcPr>
            <w:tcW w:w="900" w:type="dxa"/>
            <w:tcBorders>
              <w:left w:val="single" w:sz="4" w:space="0" w:color="auto"/>
            </w:tcBorders>
            <w:shd w:val="clear" w:color="000000" w:fill="FFFFFF"/>
            <w:noWrap/>
            <w:vAlign w:val="center"/>
          </w:tcPr>
          <w:p w14:paraId="60A8AA66"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5.6</w:t>
            </w:r>
          </w:p>
        </w:tc>
        <w:tc>
          <w:tcPr>
            <w:tcW w:w="0" w:type="auto"/>
            <w:shd w:val="clear" w:color="000000" w:fill="FFFFFF"/>
            <w:noWrap/>
            <w:vAlign w:val="center"/>
          </w:tcPr>
          <w:p w14:paraId="419DE3D8"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(3.4)</w:t>
            </w:r>
          </w:p>
        </w:tc>
        <w:tc>
          <w:tcPr>
            <w:tcW w:w="898" w:type="dxa"/>
            <w:tcBorders>
              <w:right w:val="single" w:sz="4" w:space="0" w:color="auto"/>
            </w:tcBorders>
            <w:shd w:val="clear" w:color="000000" w:fill="FFFFFF"/>
            <w:noWrap/>
            <w:vAlign w:val="center"/>
          </w:tcPr>
          <w:p w14:paraId="613AB8AC"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2.2</w:t>
            </w:r>
          </w:p>
        </w:tc>
        <w:tc>
          <w:tcPr>
            <w:tcW w:w="714" w:type="dxa"/>
            <w:tcBorders>
              <w:left w:val="single" w:sz="4" w:space="0" w:color="auto"/>
            </w:tcBorders>
            <w:shd w:val="clear" w:color="000000" w:fill="FFFFFF"/>
            <w:vAlign w:val="center"/>
          </w:tcPr>
          <w:p w14:paraId="24CB8B35"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8%</w:t>
            </w:r>
          </w:p>
        </w:tc>
        <w:tc>
          <w:tcPr>
            <w:tcW w:w="703" w:type="dxa"/>
            <w:shd w:val="clear" w:color="000000" w:fill="FFFFFF"/>
            <w:vAlign w:val="center"/>
          </w:tcPr>
          <w:p w14:paraId="2FA8393C"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59%</w:t>
            </w:r>
          </w:p>
        </w:tc>
      </w:tr>
      <w:tr w:rsidR="0044035E" w:rsidRPr="00CA4A72" w14:paraId="393DD9AC" w14:textId="77777777" w:rsidTr="006A1A41">
        <w:trPr>
          <w:trHeight w:val="170"/>
        </w:trPr>
        <w:tc>
          <w:tcPr>
            <w:tcW w:w="2901" w:type="dxa"/>
            <w:tcBorders>
              <w:top w:val="nil"/>
              <w:bottom w:val="nil"/>
              <w:right w:val="single" w:sz="4" w:space="0" w:color="auto"/>
            </w:tcBorders>
            <w:vAlign w:val="center"/>
            <w:hideMark/>
          </w:tcPr>
          <w:p w14:paraId="53AF6051" w14:textId="77777777" w:rsidR="0044035E" w:rsidRPr="00CA4A72" w:rsidRDefault="0044035E" w:rsidP="006A1A41">
            <w:pPr>
              <w:spacing w:line="276" w:lineRule="auto"/>
              <w:rPr>
                <w:rFonts w:asciiTheme="minorHAnsi" w:eastAsia="Times New Roman" w:hAnsiTheme="minorHAnsi" w:cstheme="minorHAnsi"/>
                <w:b/>
                <w:bCs/>
                <w:sz w:val="12"/>
                <w:szCs w:val="12"/>
                <w:lang w:eastAsia="en-GB"/>
              </w:rPr>
            </w:pPr>
            <w:r w:rsidRPr="00CA4A72">
              <w:rPr>
                <w:rFonts w:asciiTheme="minorHAnsi" w:hAnsiTheme="minorHAnsi" w:cstheme="minorHAnsi"/>
                <w:b/>
                <w:bCs/>
                <w:sz w:val="12"/>
                <w:szCs w:val="12"/>
              </w:rPr>
              <w:t>Net Income attributable to shareholders</w:t>
            </w:r>
          </w:p>
        </w:tc>
        <w:tc>
          <w:tcPr>
            <w:tcW w:w="775" w:type="dxa"/>
            <w:tcBorders>
              <w:left w:val="single" w:sz="4" w:space="0" w:color="auto"/>
            </w:tcBorders>
            <w:shd w:val="clear" w:color="000000" w:fill="FFFFFF"/>
            <w:noWrap/>
            <w:vAlign w:val="center"/>
          </w:tcPr>
          <w:p w14:paraId="0A0EF073"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€ 195.4</w:t>
            </w:r>
          </w:p>
        </w:tc>
        <w:tc>
          <w:tcPr>
            <w:tcW w:w="992" w:type="dxa"/>
            <w:shd w:val="clear" w:color="000000" w:fill="FFFFFF"/>
            <w:noWrap/>
            <w:vAlign w:val="center"/>
          </w:tcPr>
          <w:p w14:paraId="7A2B2A44"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€ 266.0</w:t>
            </w:r>
          </w:p>
        </w:tc>
        <w:tc>
          <w:tcPr>
            <w:tcW w:w="851" w:type="dxa"/>
            <w:tcBorders>
              <w:right w:val="single" w:sz="4" w:space="0" w:color="auto"/>
            </w:tcBorders>
            <w:shd w:val="clear" w:color="000000" w:fill="FFFFFF"/>
            <w:noWrap/>
            <w:vAlign w:val="center"/>
          </w:tcPr>
          <w:p w14:paraId="65015F46"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€ 461.4</w:t>
            </w:r>
          </w:p>
        </w:tc>
        <w:tc>
          <w:tcPr>
            <w:tcW w:w="900" w:type="dxa"/>
            <w:tcBorders>
              <w:left w:val="single" w:sz="4" w:space="0" w:color="auto"/>
            </w:tcBorders>
            <w:shd w:val="clear" w:color="000000" w:fill="FFFFFF"/>
            <w:noWrap/>
            <w:vAlign w:val="center"/>
          </w:tcPr>
          <w:p w14:paraId="00B0E1EA"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€ 294.9</w:t>
            </w:r>
          </w:p>
        </w:tc>
        <w:tc>
          <w:tcPr>
            <w:tcW w:w="0" w:type="auto"/>
            <w:shd w:val="clear" w:color="000000" w:fill="FFFFFF"/>
            <w:noWrap/>
            <w:vAlign w:val="center"/>
          </w:tcPr>
          <w:p w14:paraId="1CD78D8D"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Pr>
                <w:rFonts w:asciiTheme="minorHAnsi" w:hAnsiTheme="minorHAnsi" w:cstheme="minorHAnsi"/>
                <w:b/>
                <w:bCs/>
                <w:color w:val="000000"/>
                <w:sz w:val="12"/>
                <w:szCs w:val="12"/>
              </w:rPr>
              <w:t>€ 145.6</w:t>
            </w:r>
          </w:p>
        </w:tc>
        <w:tc>
          <w:tcPr>
            <w:tcW w:w="898" w:type="dxa"/>
            <w:tcBorders>
              <w:right w:val="single" w:sz="4" w:space="0" w:color="auto"/>
            </w:tcBorders>
            <w:shd w:val="clear" w:color="000000" w:fill="FFFFFF"/>
            <w:noWrap/>
            <w:vAlign w:val="center"/>
          </w:tcPr>
          <w:p w14:paraId="145E0EE7"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€ 440.5</w:t>
            </w:r>
          </w:p>
        </w:tc>
        <w:tc>
          <w:tcPr>
            <w:tcW w:w="714" w:type="dxa"/>
            <w:tcBorders>
              <w:left w:val="single" w:sz="4" w:space="0" w:color="auto"/>
            </w:tcBorders>
            <w:shd w:val="clear" w:color="000000" w:fill="FFFFFF"/>
            <w:vAlign w:val="center"/>
          </w:tcPr>
          <w:p w14:paraId="776E6721"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(34)%</w:t>
            </w:r>
          </w:p>
        </w:tc>
        <w:tc>
          <w:tcPr>
            <w:tcW w:w="703" w:type="dxa"/>
            <w:shd w:val="clear" w:color="000000" w:fill="FFFFFF"/>
            <w:vAlign w:val="center"/>
          </w:tcPr>
          <w:p w14:paraId="61774FD0"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5%</w:t>
            </w:r>
          </w:p>
        </w:tc>
      </w:tr>
      <w:tr w:rsidR="0044035E" w:rsidRPr="00CA4A72" w14:paraId="0836F0AF" w14:textId="77777777" w:rsidTr="006A1A41">
        <w:trPr>
          <w:trHeight w:val="170"/>
        </w:trPr>
        <w:tc>
          <w:tcPr>
            <w:tcW w:w="2901" w:type="dxa"/>
            <w:tcBorders>
              <w:top w:val="nil"/>
              <w:bottom w:val="single" w:sz="4" w:space="0" w:color="auto"/>
              <w:right w:val="single" w:sz="4" w:space="0" w:color="auto"/>
            </w:tcBorders>
            <w:vAlign w:val="center"/>
            <w:hideMark/>
          </w:tcPr>
          <w:p w14:paraId="14D45FAC" w14:textId="77777777" w:rsidR="0044035E" w:rsidRPr="00CA4A72" w:rsidRDefault="0044035E" w:rsidP="006A1A41">
            <w:pPr>
              <w:spacing w:line="276" w:lineRule="auto"/>
              <w:rPr>
                <w:rFonts w:asciiTheme="minorHAnsi" w:eastAsia="Times New Roman" w:hAnsiTheme="minorHAnsi" w:cstheme="minorHAnsi"/>
                <w:b/>
                <w:bCs/>
                <w:sz w:val="12"/>
                <w:szCs w:val="12"/>
                <w:lang w:eastAsia="en-GB"/>
              </w:rPr>
            </w:pPr>
            <w:r w:rsidRPr="00CA4A72">
              <w:rPr>
                <w:rFonts w:asciiTheme="minorHAnsi" w:hAnsiTheme="minorHAnsi" w:cstheme="minorHAnsi"/>
                <w:b/>
                <w:bCs/>
                <w:sz w:val="12"/>
                <w:szCs w:val="12"/>
              </w:rPr>
              <w:t xml:space="preserve">Diluted Net Income Per Share </w:t>
            </w:r>
            <w:r>
              <w:rPr>
                <w:rFonts w:asciiTheme="minorHAnsi" w:hAnsiTheme="minorHAnsi" w:cstheme="minorHAnsi"/>
                <w:b/>
                <w:bCs/>
                <w:sz w:val="12"/>
                <w:szCs w:val="12"/>
                <w:vertAlign w:val="superscript"/>
              </w:rPr>
              <w:t>(5</w:t>
            </w:r>
            <w:r w:rsidRPr="00CA4A72">
              <w:rPr>
                <w:rFonts w:asciiTheme="minorHAnsi" w:hAnsiTheme="minorHAnsi" w:cstheme="minorHAnsi"/>
                <w:b/>
                <w:bCs/>
                <w:sz w:val="12"/>
                <w:szCs w:val="12"/>
                <w:vertAlign w:val="superscript"/>
              </w:rPr>
              <w:t>)</w:t>
            </w:r>
          </w:p>
        </w:tc>
        <w:tc>
          <w:tcPr>
            <w:tcW w:w="775" w:type="dxa"/>
            <w:tcBorders>
              <w:left w:val="single" w:sz="4" w:space="0" w:color="auto"/>
            </w:tcBorders>
            <w:shd w:val="clear" w:color="000000" w:fill="FFFFFF"/>
            <w:noWrap/>
            <w:vAlign w:val="center"/>
          </w:tcPr>
          <w:p w14:paraId="32670833"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€ 0.74</w:t>
            </w:r>
          </w:p>
        </w:tc>
        <w:tc>
          <w:tcPr>
            <w:tcW w:w="992" w:type="dxa"/>
            <w:shd w:val="clear" w:color="000000" w:fill="FFFFFF"/>
            <w:noWrap/>
            <w:vAlign w:val="center"/>
          </w:tcPr>
          <w:p w14:paraId="35B267A4"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€ 1.01</w:t>
            </w:r>
          </w:p>
        </w:tc>
        <w:tc>
          <w:tcPr>
            <w:tcW w:w="851" w:type="dxa"/>
            <w:tcBorders>
              <w:bottom w:val="single" w:sz="4" w:space="0" w:color="auto"/>
              <w:right w:val="single" w:sz="4" w:space="0" w:color="auto"/>
            </w:tcBorders>
            <w:shd w:val="clear" w:color="000000" w:fill="FFFFFF"/>
            <w:noWrap/>
            <w:vAlign w:val="center"/>
          </w:tcPr>
          <w:p w14:paraId="183ED3A0"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€ 1.76</w:t>
            </w:r>
          </w:p>
        </w:tc>
        <w:tc>
          <w:tcPr>
            <w:tcW w:w="900" w:type="dxa"/>
            <w:tcBorders>
              <w:left w:val="single" w:sz="4" w:space="0" w:color="auto"/>
            </w:tcBorders>
            <w:shd w:val="clear" w:color="000000" w:fill="FFFFFF"/>
            <w:noWrap/>
            <w:vAlign w:val="center"/>
          </w:tcPr>
          <w:p w14:paraId="3D495AD2"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€ 1.13</w:t>
            </w:r>
          </w:p>
        </w:tc>
        <w:tc>
          <w:tcPr>
            <w:tcW w:w="0" w:type="auto"/>
            <w:shd w:val="clear" w:color="000000" w:fill="FFFFFF"/>
            <w:noWrap/>
            <w:vAlign w:val="center"/>
          </w:tcPr>
          <w:p w14:paraId="422DFEE2"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€ 0.56</w:t>
            </w:r>
          </w:p>
        </w:tc>
        <w:tc>
          <w:tcPr>
            <w:tcW w:w="898" w:type="dxa"/>
            <w:tcBorders>
              <w:bottom w:val="single" w:sz="4" w:space="0" w:color="auto"/>
              <w:right w:val="single" w:sz="4" w:space="0" w:color="auto"/>
            </w:tcBorders>
            <w:shd w:val="clear" w:color="000000" w:fill="FFFFFF"/>
            <w:noWrap/>
            <w:vAlign w:val="center"/>
          </w:tcPr>
          <w:p w14:paraId="799800B6"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€ 1.69</w:t>
            </w:r>
          </w:p>
        </w:tc>
        <w:tc>
          <w:tcPr>
            <w:tcW w:w="714" w:type="dxa"/>
            <w:tcBorders>
              <w:left w:val="single" w:sz="4" w:space="0" w:color="auto"/>
            </w:tcBorders>
            <w:shd w:val="clear" w:color="000000" w:fill="FFFFFF"/>
            <w:vAlign w:val="center"/>
          </w:tcPr>
          <w:p w14:paraId="57603370"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(34)%</w:t>
            </w:r>
          </w:p>
        </w:tc>
        <w:tc>
          <w:tcPr>
            <w:tcW w:w="703" w:type="dxa"/>
            <w:shd w:val="clear" w:color="000000" w:fill="FFFFFF"/>
            <w:vAlign w:val="center"/>
          </w:tcPr>
          <w:p w14:paraId="20A22A21"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4%</w:t>
            </w:r>
          </w:p>
        </w:tc>
      </w:tr>
    </w:tbl>
    <w:p w14:paraId="3EBC21FF" w14:textId="77777777" w:rsidR="0044035E" w:rsidRDefault="0044035E" w:rsidP="0044035E">
      <w:pPr>
        <w:autoSpaceDE w:val="0"/>
        <w:autoSpaceDN w:val="0"/>
        <w:adjustRightInd w:val="0"/>
        <w:ind w:right="-113"/>
        <w:jc w:val="both"/>
        <w:rPr>
          <w:rFonts w:asciiTheme="minorHAnsi" w:eastAsia="Times New Roman" w:hAnsiTheme="minorHAnsi" w:cstheme="minorHAnsi"/>
          <w:sz w:val="14"/>
          <w:szCs w:val="14"/>
        </w:rPr>
      </w:pPr>
      <w:proofErr w:type="gramStart"/>
      <w:r w:rsidRPr="008466C4">
        <w:rPr>
          <w:rFonts w:asciiTheme="minorHAnsi" w:eastAsia="Times New Roman" w:hAnsiTheme="minorHAnsi" w:cstheme="minorHAnsi"/>
          <w:sz w:val="14"/>
          <w:szCs w:val="14"/>
          <w:vertAlign w:val="superscript"/>
        </w:rPr>
        <w:t>(1)</w:t>
      </w:r>
      <w:r w:rsidRPr="00D27EF3">
        <w:rPr>
          <w:rFonts w:asciiTheme="minorHAnsi" w:eastAsia="Times New Roman" w:hAnsiTheme="minorHAnsi" w:cstheme="minorHAnsi"/>
          <w:sz w:val="14"/>
          <w:szCs w:val="14"/>
        </w:rPr>
        <w:t xml:space="preserve"> In the reconciliation schedule above, (</w:t>
      </w:r>
      <w:proofErr w:type="spellStart"/>
      <w:r w:rsidRPr="00D27EF3">
        <w:rPr>
          <w:rFonts w:asciiTheme="minorHAnsi" w:eastAsia="Times New Roman" w:hAnsiTheme="minorHAnsi" w:cstheme="minorHAnsi"/>
          <w:sz w:val="14"/>
          <w:szCs w:val="14"/>
        </w:rPr>
        <w:t>i</w:t>
      </w:r>
      <w:proofErr w:type="spellEnd"/>
      <w:r w:rsidRPr="00D27EF3">
        <w:rPr>
          <w:rFonts w:asciiTheme="minorHAnsi" w:eastAsia="Times New Roman" w:hAnsiTheme="minorHAnsi" w:cstheme="minorHAnsi"/>
          <w:sz w:val="14"/>
          <w:szCs w:val="14"/>
        </w:rPr>
        <w:t>) all adjustments to IFRS revenue data reflect the exclusion of the deferred revenue adjustment of acquired companies; (ii) adjustments to IFRS operating expense data reflect the exclusion of the amortization of acquired intangible assets and of tangible assets revaluation, share-based compensation expense and related social charges, and lease incentives of acquired companies, as detailed below, and other operating income and expense, net including impairment of goodwill and acquired intangible assets (iii) adjustments to IFRS financial revenue and other, net reflect the exclusion of certain one-time items included in financial revenue and other, net, and (iv) all adjustments to IFRS income data reflect the combined effect of these adjustments, plus with respect to net income and diluted net income per share, certain one-time tax effects and the income tax effect of the non-IFRS adjustments.</w:t>
      </w:r>
      <w:proofErr w:type="gramEnd"/>
      <w:r w:rsidRPr="00D27EF3">
        <w:rPr>
          <w:rFonts w:asciiTheme="minorHAnsi" w:eastAsia="Times New Roman" w:hAnsiTheme="minorHAnsi" w:cstheme="minorHAnsi"/>
          <w:sz w:val="14"/>
          <w:szCs w:val="14"/>
        </w:rPr>
        <w:t xml:space="preserve"> </w:t>
      </w:r>
    </w:p>
    <w:p w14:paraId="527104DC" w14:textId="77777777" w:rsidR="0044035E" w:rsidRPr="00D27EF3" w:rsidRDefault="0044035E" w:rsidP="0044035E">
      <w:pPr>
        <w:autoSpaceDE w:val="0"/>
        <w:autoSpaceDN w:val="0"/>
        <w:adjustRightInd w:val="0"/>
        <w:ind w:right="-164"/>
        <w:jc w:val="both"/>
        <w:rPr>
          <w:rFonts w:asciiTheme="minorHAnsi" w:eastAsia="Times New Roman" w:hAnsiTheme="minorHAnsi" w:cstheme="minorHAnsi"/>
          <w:sz w:val="14"/>
          <w:szCs w:val="14"/>
        </w:rPr>
      </w:pPr>
    </w:p>
    <w:tbl>
      <w:tblPr>
        <w:tblW w:w="96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96"/>
        <w:gridCol w:w="709"/>
        <w:gridCol w:w="987"/>
        <w:gridCol w:w="851"/>
        <w:gridCol w:w="709"/>
        <w:gridCol w:w="713"/>
        <w:gridCol w:w="993"/>
        <w:gridCol w:w="850"/>
        <w:gridCol w:w="709"/>
        <w:gridCol w:w="704"/>
        <w:gridCol w:w="708"/>
      </w:tblGrid>
      <w:tr w:rsidR="0044035E" w:rsidRPr="00CA4A72" w14:paraId="4D0BA5F0" w14:textId="77777777" w:rsidTr="006A1A41">
        <w:trPr>
          <w:trHeight w:val="227"/>
        </w:trPr>
        <w:tc>
          <w:tcPr>
            <w:tcW w:w="1696" w:type="dxa"/>
            <w:vMerge w:val="restart"/>
            <w:tcBorders>
              <w:top w:val="single" w:sz="4" w:space="0" w:color="auto"/>
              <w:bottom w:val="single" w:sz="4" w:space="0" w:color="auto"/>
              <w:right w:val="single" w:sz="4" w:space="0" w:color="auto"/>
            </w:tcBorders>
            <w:vAlign w:val="center"/>
          </w:tcPr>
          <w:p w14:paraId="54D441DD" w14:textId="77777777" w:rsidR="0044035E" w:rsidRPr="00CA4A72" w:rsidRDefault="0044035E" w:rsidP="006A1A41">
            <w:pPr>
              <w:spacing w:line="276" w:lineRule="auto"/>
              <w:jc w:val="center"/>
              <w:rPr>
                <w:rFonts w:asciiTheme="minorHAnsi" w:eastAsia="Times New Roman" w:hAnsiTheme="minorHAnsi" w:cstheme="minorHAnsi"/>
                <w:sz w:val="12"/>
                <w:szCs w:val="12"/>
                <w:lang w:eastAsia="en-GB"/>
              </w:rPr>
            </w:pPr>
            <w:r w:rsidRPr="00CA4A72">
              <w:rPr>
                <w:rFonts w:asciiTheme="minorHAnsi" w:eastAsia="Times New Roman" w:hAnsiTheme="minorHAnsi" w:cstheme="minorHAnsi"/>
                <w:sz w:val="12"/>
                <w:szCs w:val="12"/>
                <w:lang w:eastAsia="en-GB"/>
              </w:rPr>
              <w:t>In millions of Euros, except percentages</w:t>
            </w:r>
          </w:p>
        </w:tc>
        <w:tc>
          <w:tcPr>
            <w:tcW w:w="6521" w:type="dxa"/>
            <w:gridSpan w:val="8"/>
            <w:tcBorders>
              <w:top w:val="single" w:sz="4" w:space="0" w:color="auto"/>
              <w:left w:val="single" w:sz="4" w:space="0" w:color="auto"/>
              <w:bottom w:val="single" w:sz="4" w:space="0" w:color="auto"/>
              <w:right w:val="single" w:sz="4" w:space="0" w:color="auto"/>
            </w:tcBorders>
            <w:vAlign w:val="center"/>
          </w:tcPr>
          <w:p w14:paraId="6DEFA23C" w14:textId="77777777" w:rsidR="0044035E" w:rsidRPr="00CA4A72" w:rsidRDefault="0044035E" w:rsidP="006A1A41">
            <w:pPr>
              <w:spacing w:line="276" w:lineRule="auto"/>
              <w:jc w:val="center"/>
              <w:rPr>
                <w:rFonts w:asciiTheme="minorHAnsi" w:eastAsia="Times New Roman" w:hAnsiTheme="minorHAnsi" w:cstheme="minorHAnsi"/>
                <w:b/>
                <w:sz w:val="12"/>
                <w:szCs w:val="12"/>
                <w:lang w:eastAsia="en-GB"/>
              </w:rPr>
            </w:pPr>
            <w:r>
              <w:rPr>
                <w:rFonts w:asciiTheme="minorHAnsi" w:eastAsia="Times New Roman" w:hAnsiTheme="minorHAnsi" w:cstheme="minorHAnsi"/>
                <w:b/>
                <w:bCs/>
                <w:sz w:val="12"/>
                <w:szCs w:val="12"/>
                <w:lang w:eastAsia="en-GB"/>
              </w:rPr>
              <w:t>Six</w:t>
            </w:r>
            <w:r w:rsidRPr="00F30606">
              <w:rPr>
                <w:rFonts w:asciiTheme="minorHAnsi" w:eastAsia="Times New Roman" w:hAnsiTheme="minorHAnsi" w:cstheme="minorHAnsi"/>
                <w:b/>
                <w:bCs/>
                <w:sz w:val="12"/>
                <w:szCs w:val="12"/>
                <w:lang w:eastAsia="en-GB"/>
              </w:rPr>
              <w:t xml:space="preserve"> months ended June</w:t>
            </w:r>
            <w:r>
              <w:rPr>
                <w:rFonts w:asciiTheme="minorHAnsi" w:eastAsia="Times New Roman" w:hAnsiTheme="minorHAnsi" w:cstheme="minorHAnsi"/>
                <w:b/>
                <w:bCs/>
                <w:sz w:val="12"/>
                <w:szCs w:val="12"/>
                <w:lang w:eastAsia="en-GB"/>
              </w:rPr>
              <w:t xml:space="preserve"> 30</w:t>
            </w:r>
            <w:r w:rsidRPr="00CA4A72">
              <w:rPr>
                <w:rFonts w:asciiTheme="minorHAnsi" w:eastAsia="Times New Roman" w:hAnsiTheme="minorHAnsi" w:cstheme="minorHAnsi"/>
                <w:b/>
                <w:bCs/>
                <w:sz w:val="12"/>
                <w:szCs w:val="12"/>
                <w:lang w:eastAsia="en-GB"/>
              </w:rPr>
              <w:t>,</w:t>
            </w:r>
          </w:p>
        </w:tc>
        <w:tc>
          <w:tcPr>
            <w:tcW w:w="1412" w:type="dxa"/>
            <w:gridSpan w:val="2"/>
            <w:tcBorders>
              <w:top w:val="single" w:sz="4" w:space="0" w:color="auto"/>
              <w:left w:val="single" w:sz="4" w:space="0" w:color="auto"/>
              <w:bottom w:val="single" w:sz="4" w:space="0" w:color="auto"/>
            </w:tcBorders>
            <w:vAlign w:val="center"/>
          </w:tcPr>
          <w:p w14:paraId="1D2FC7AB" w14:textId="77777777" w:rsidR="0044035E" w:rsidRPr="00CA4A72" w:rsidRDefault="0044035E" w:rsidP="006A1A41">
            <w:pPr>
              <w:spacing w:line="276" w:lineRule="auto"/>
              <w:jc w:val="center"/>
              <w:rPr>
                <w:rFonts w:asciiTheme="minorHAnsi" w:eastAsia="Times New Roman" w:hAnsiTheme="minorHAnsi" w:cstheme="minorHAnsi"/>
                <w:b/>
                <w:sz w:val="12"/>
                <w:szCs w:val="12"/>
                <w:lang w:eastAsia="en-GB"/>
              </w:rPr>
            </w:pPr>
            <w:r w:rsidRPr="00CA4A72">
              <w:rPr>
                <w:rFonts w:asciiTheme="minorHAnsi" w:eastAsia="Times New Roman" w:hAnsiTheme="minorHAnsi" w:cstheme="minorHAnsi"/>
                <w:b/>
                <w:sz w:val="12"/>
                <w:szCs w:val="12"/>
                <w:lang w:eastAsia="en-GB"/>
              </w:rPr>
              <w:t>Change</w:t>
            </w:r>
          </w:p>
        </w:tc>
      </w:tr>
      <w:tr w:rsidR="0044035E" w:rsidRPr="00CA4A72" w14:paraId="11346A9D" w14:textId="77777777" w:rsidTr="006A1A41">
        <w:trPr>
          <w:trHeight w:val="842"/>
        </w:trPr>
        <w:tc>
          <w:tcPr>
            <w:tcW w:w="1696" w:type="dxa"/>
            <w:vMerge/>
            <w:tcBorders>
              <w:top w:val="nil"/>
              <w:bottom w:val="single" w:sz="4" w:space="0" w:color="auto"/>
              <w:right w:val="single" w:sz="4" w:space="0" w:color="auto"/>
            </w:tcBorders>
            <w:vAlign w:val="center"/>
          </w:tcPr>
          <w:p w14:paraId="52E9D894"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p>
        </w:tc>
        <w:tc>
          <w:tcPr>
            <w:tcW w:w="709" w:type="dxa"/>
            <w:tcBorders>
              <w:top w:val="single" w:sz="4" w:space="0" w:color="auto"/>
              <w:left w:val="single" w:sz="4" w:space="0" w:color="auto"/>
              <w:bottom w:val="single" w:sz="4" w:space="0" w:color="auto"/>
            </w:tcBorders>
            <w:vAlign w:val="center"/>
          </w:tcPr>
          <w:p w14:paraId="70269149" w14:textId="77777777" w:rsidR="0044035E" w:rsidRPr="00CA4A72" w:rsidRDefault="0044035E" w:rsidP="006A1A41">
            <w:pPr>
              <w:spacing w:line="276" w:lineRule="auto"/>
              <w:jc w:val="center"/>
              <w:rPr>
                <w:rFonts w:asciiTheme="minorHAnsi" w:eastAsia="Times New Roman" w:hAnsiTheme="minorHAnsi" w:cstheme="minorHAnsi"/>
                <w:b/>
                <w:sz w:val="12"/>
                <w:szCs w:val="12"/>
                <w:lang w:eastAsia="en-GB"/>
              </w:rPr>
            </w:pPr>
            <w:r w:rsidRPr="00CA4A72">
              <w:rPr>
                <w:rFonts w:asciiTheme="minorHAnsi" w:eastAsia="Times New Roman" w:hAnsiTheme="minorHAnsi" w:cstheme="minorHAnsi"/>
                <w:b/>
                <w:sz w:val="12"/>
                <w:szCs w:val="12"/>
                <w:lang w:eastAsia="en-GB"/>
              </w:rPr>
              <w:t>2020</w:t>
            </w:r>
          </w:p>
          <w:p w14:paraId="12A09076" w14:textId="77777777" w:rsidR="0044035E" w:rsidRPr="00CA4A72" w:rsidRDefault="0044035E" w:rsidP="006A1A41">
            <w:pPr>
              <w:spacing w:line="276" w:lineRule="auto"/>
              <w:jc w:val="center"/>
              <w:rPr>
                <w:rFonts w:asciiTheme="minorHAnsi" w:eastAsia="Times New Roman" w:hAnsiTheme="minorHAnsi" w:cstheme="minorHAnsi"/>
                <w:b/>
                <w:sz w:val="12"/>
                <w:szCs w:val="12"/>
                <w:lang w:eastAsia="en-GB"/>
              </w:rPr>
            </w:pPr>
            <w:r w:rsidRPr="00CA4A72">
              <w:rPr>
                <w:rFonts w:asciiTheme="minorHAnsi" w:eastAsia="Times New Roman" w:hAnsiTheme="minorHAnsi" w:cstheme="minorHAnsi"/>
                <w:b/>
                <w:sz w:val="12"/>
                <w:szCs w:val="12"/>
                <w:lang w:eastAsia="en-GB"/>
              </w:rPr>
              <w:t>IFRS</w:t>
            </w:r>
          </w:p>
        </w:tc>
        <w:tc>
          <w:tcPr>
            <w:tcW w:w="987" w:type="dxa"/>
            <w:tcBorders>
              <w:top w:val="single" w:sz="4" w:space="0" w:color="auto"/>
              <w:bottom w:val="single" w:sz="4" w:space="0" w:color="auto"/>
            </w:tcBorders>
          </w:tcPr>
          <w:p w14:paraId="34D2CAEC" w14:textId="77777777" w:rsidR="0044035E" w:rsidRPr="00CA4A72" w:rsidRDefault="0044035E" w:rsidP="006A1A41">
            <w:pPr>
              <w:spacing w:line="276" w:lineRule="auto"/>
              <w:jc w:val="center"/>
              <w:rPr>
                <w:rFonts w:asciiTheme="minorHAnsi" w:eastAsia="Times New Roman" w:hAnsiTheme="minorHAnsi" w:cstheme="minorHAnsi"/>
                <w:b/>
                <w:sz w:val="12"/>
                <w:szCs w:val="12"/>
                <w:lang w:eastAsia="en-GB"/>
              </w:rPr>
            </w:pPr>
            <w:r w:rsidRPr="00CA4A72">
              <w:rPr>
                <w:rFonts w:asciiTheme="minorHAnsi" w:eastAsia="Times New Roman" w:hAnsiTheme="minorHAnsi" w:cstheme="minorHAnsi"/>
                <w:b/>
                <w:sz w:val="12"/>
                <w:szCs w:val="12"/>
                <w:lang w:eastAsia="en-GB"/>
              </w:rPr>
              <w:t>Share-based compensation expense and related social charges</w:t>
            </w:r>
          </w:p>
        </w:tc>
        <w:tc>
          <w:tcPr>
            <w:tcW w:w="851" w:type="dxa"/>
            <w:tcBorders>
              <w:top w:val="single" w:sz="4" w:space="0" w:color="auto"/>
              <w:bottom w:val="single" w:sz="4" w:space="0" w:color="auto"/>
            </w:tcBorders>
            <w:vAlign w:val="center"/>
          </w:tcPr>
          <w:p w14:paraId="15BF813A" w14:textId="77777777" w:rsidR="0044035E" w:rsidRPr="00CA4A72" w:rsidRDefault="0044035E" w:rsidP="006A1A41">
            <w:pPr>
              <w:spacing w:line="276" w:lineRule="auto"/>
              <w:jc w:val="center"/>
              <w:rPr>
                <w:rFonts w:asciiTheme="minorHAnsi" w:eastAsia="Times New Roman" w:hAnsiTheme="minorHAnsi" w:cstheme="minorHAnsi"/>
                <w:b/>
                <w:sz w:val="12"/>
                <w:szCs w:val="12"/>
                <w:lang w:eastAsia="en-GB"/>
              </w:rPr>
            </w:pPr>
            <w:r w:rsidRPr="00CA4A72">
              <w:rPr>
                <w:rFonts w:asciiTheme="minorHAnsi" w:eastAsia="Times New Roman" w:hAnsiTheme="minorHAnsi" w:cstheme="minorHAnsi"/>
                <w:b/>
                <w:sz w:val="12"/>
                <w:szCs w:val="12"/>
                <w:lang w:eastAsia="en-GB"/>
              </w:rPr>
              <w:t>Lease incentives of acquired companies</w:t>
            </w:r>
          </w:p>
        </w:tc>
        <w:tc>
          <w:tcPr>
            <w:tcW w:w="709" w:type="dxa"/>
            <w:tcBorders>
              <w:top w:val="single" w:sz="4" w:space="0" w:color="auto"/>
              <w:bottom w:val="single" w:sz="4" w:space="0" w:color="auto"/>
              <w:right w:val="single" w:sz="4" w:space="0" w:color="auto"/>
            </w:tcBorders>
            <w:vAlign w:val="center"/>
          </w:tcPr>
          <w:p w14:paraId="6ECD381A" w14:textId="77777777" w:rsidR="0044035E" w:rsidRPr="00CA4A72" w:rsidRDefault="0044035E" w:rsidP="006A1A41">
            <w:pPr>
              <w:spacing w:line="276" w:lineRule="auto"/>
              <w:jc w:val="center"/>
              <w:rPr>
                <w:rFonts w:asciiTheme="minorHAnsi" w:eastAsia="Times New Roman" w:hAnsiTheme="minorHAnsi" w:cstheme="minorHAnsi"/>
                <w:b/>
                <w:sz w:val="12"/>
                <w:szCs w:val="12"/>
                <w:lang w:eastAsia="en-GB"/>
              </w:rPr>
            </w:pPr>
            <w:r w:rsidRPr="00CA4A72">
              <w:rPr>
                <w:rFonts w:asciiTheme="minorHAnsi" w:eastAsia="Times New Roman" w:hAnsiTheme="minorHAnsi" w:cstheme="minorHAnsi"/>
                <w:b/>
                <w:sz w:val="12"/>
                <w:szCs w:val="12"/>
                <w:lang w:eastAsia="en-GB"/>
              </w:rPr>
              <w:t>2020</w:t>
            </w:r>
          </w:p>
          <w:p w14:paraId="51EE39D3" w14:textId="77777777" w:rsidR="0044035E" w:rsidRPr="00CA4A72" w:rsidRDefault="0044035E" w:rsidP="006A1A41">
            <w:pPr>
              <w:spacing w:line="276" w:lineRule="auto"/>
              <w:jc w:val="center"/>
              <w:rPr>
                <w:rFonts w:asciiTheme="minorHAnsi" w:eastAsia="Times New Roman" w:hAnsiTheme="minorHAnsi" w:cstheme="minorHAnsi"/>
                <w:b/>
                <w:sz w:val="12"/>
                <w:szCs w:val="12"/>
                <w:lang w:eastAsia="en-GB"/>
              </w:rPr>
            </w:pPr>
            <w:r w:rsidRPr="00CA4A72">
              <w:rPr>
                <w:rFonts w:asciiTheme="minorHAnsi" w:eastAsia="Times New Roman" w:hAnsiTheme="minorHAnsi" w:cstheme="minorHAnsi"/>
                <w:b/>
                <w:sz w:val="12"/>
                <w:szCs w:val="12"/>
                <w:lang w:eastAsia="en-GB"/>
              </w:rPr>
              <w:t>Non-IFRS</w:t>
            </w:r>
          </w:p>
        </w:tc>
        <w:tc>
          <w:tcPr>
            <w:tcW w:w="713" w:type="dxa"/>
            <w:tcBorders>
              <w:top w:val="single" w:sz="4" w:space="0" w:color="auto"/>
              <w:left w:val="single" w:sz="4" w:space="0" w:color="auto"/>
              <w:bottom w:val="single" w:sz="4" w:space="0" w:color="auto"/>
            </w:tcBorders>
            <w:vAlign w:val="center"/>
          </w:tcPr>
          <w:p w14:paraId="3B2D4193" w14:textId="77777777" w:rsidR="0044035E" w:rsidRPr="00CA4A72" w:rsidRDefault="0044035E" w:rsidP="006A1A41">
            <w:pPr>
              <w:spacing w:line="276" w:lineRule="auto"/>
              <w:jc w:val="center"/>
              <w:rPr>
                <w:rFonts w:asciiTheme="minorHAnsi" w:eastAsia="Times New Roman" w:hAnsiTheme="minorHAnsi" w:cstheme="minorHAnsi"/>
                <w:b/>
                <w:sz w:val="12"/>
                <w:szCs w:val="12"/>
                <w:lang w:eastAsia="en-GB"/>
              </w:rPr>
            </w:pPr>
            <w:r w:rsidRPr="00CA4A72">
              <w:rPr>
                <w:rFonts w:asciiTheme="minorHAnsi" w:eastAsia="Times New Roman" w:hAnsiTheme="minorHAnsi" w:cstheme="minorHAnsi"/>
                <w:b/>
                <w:sz w:val="12"/>
                <w:szCs w:val="12"/>
                <w:lang w:eastAsia="en-GB"/>
              </w:rPr>
              <w:t>2019</w:t>
            </w:r>
          </w:p>
          <w:p w14:paraId="523969C9" w14:textId="77777777" w:rsidR="0044035E" w:rsidRPr="00CA4A72" w:rsidRDefault="0044035E" w:rsidP="006A1A41">
            <w:pPr>
              <w:spacing w:line="276" w:lineRule="auto"/>
              <w:jc w:val="center"/>
              <w:rPr>
                <w:rFonts w:asciiTheme="minorHAnsi" w:eastAsia="Times New Roman" w:hAnsiTheme="minorHAnsi" w:cstheme="minorHAnsi"/>
                <w:b/>
                <w:sz w:val="12"/>
                <w:szCs w:val="12"/>
                <w:lang w:eastAsia="en-GB"/>
              </w:rPr>
            </w:pPr>
            <w:r w:rsidRPr="00CA4A72">
              <w:rPr>
                <w:rFonts w:asciiTheme="minorHAnsi" w:eastAsia="Times New Roman" w:hAnsiTheme="minorHAnsi" w:cstheme="minorHAnsi"/>
                <w:b/>
                <w:sz w:val="12"/>
                <w:szCs w:val="12"/>
                <w:lang w:eastAsia="en-GB"/>
              </w:rPr>
              <w:t>IFRS</w:t>
            </w:r>
          </w:p>
        </w:tc>
        <w:tc>
          <w:tcPr>
            <w:tcW w:w="993" w:type="dxa"/>
            <w:tcBorders>
              <w:top w:val="single" w:sz="4" w:space="0" w:color="auto"/>
              <w:bottom w:val="single" w:sz="4" w:space="0" w:color="auto"/>
            </w:tcBorders>
          </w:tcPr>
          <w:p w14:paraId="7F9C257F" w14:textId="77777777" w:rsidR="0044035E" w:rsidRPr="00CA4A72" w:rsidRDefault="0044035E" w:rsidP="006A1A41">
            <w:pPr>
              <w:spacing w:line="276" w:lineRule="auto"/>
              <w:jc w:val="center"/>
              <w:rPr>
                <w:rFonts w:asciiTheme="minorHAnsi" w:eastAsia="Times New Roman" w:hAnsiTheme="minorHAnsi" w:cstheme="minorHAnsi"/>
                <w:b/>
                <w:sz w:val="12"/>
                <w:szCs w:val="12"/>
                <w:lang w:eastAsia="en-GB"/>
              </w:rPr>
            </w:pPr>
            <w:r w:rsidRPr="00CA4A72">
              <w:rPr>
                <w:rFonts w:asciiTheme="minorHAnsi" w:eastAsia="Times New Roman" w:hAnsiTheme="minorHAnsi" w:cstheme="minorHAnsi"/>
                <w:b/>
                <w:sz w:val="12"/>
                <w:szCs w:val="12"/>
                <w:lang w:eastAsia="en-GB"/>
              </w:rPr>
              <w:t>Share-based compensation expense and related social charges</w:t>
            </w:r>
          </w:p>
        </w:tc>
        <w:tc>
          <w:tcPr>
            <w:tcW w:w="850" w:type="dxa"/>
            <w:tcBorders>
              <w:top w:val="single" w:sz="4" w:space="0" w:color="auto"/>
              <w:bottom w:val="single" w:sz="4" w:space="0" w:color="auto"/>
            </w:tcBorders>
            <w:vAlign w:val="center"/>
          </w:tcPr>
          <w:p w14:paraId="24578568" w14:textId="77777777" w:rsidR="0044035E" w:rsidRPr="00CA4A72" w:rsidRDefault="0044035E" w:rsidP="006A1A41">
            <w:pPr>
              <w:spacing w:line="276" w:lineRule="auto"/>
              <w:jc w:val="center"/>
              <w:rPr>
                <w:rFonts w:asciiTheme="minorHAnsi" w:eastAsia="Times New Roman" w:hAnsiTheme="minorHAnsi" w:cstheme="minorHAnsi"/>
                <w:b/>
                <w:sz w:val="12"/>
                <w:szCs w:val="12"/>
                <w:lang w:eastAsia="en-GB"/>
              </w:rPr>
            </w:pPr>
            <w:r w:rsidRPr="00CA4A72">
              <w:rPr>
                <w:rFonts w:asciiTheme="minorHAnsi" w:eastAsia="Times New Roman" w:hAnsiTheme="minorHAnsi" w:cstheme="minorHAnsi"/>
                <w:b/>
                <w:sz w:val="12"/>
                <w:szCs w:val="12"/>
                <w:lang w:eastAsia="en-GB"/>
              </w:rPr>
              <w:t>Lease incentives of acquired companies</w:t>
            </w:r>
          </w:p>
        </w:tc>
        <w:tc>
          <w:tcPr>
            <w:tcW w:w="709" w:type="dxa"/>
            <w:tcBorders>
              <w:top w:val="single" w:sz="4" w:space="0" w:color="auto"/>
              <w:bottom w:val="single" w:sz="4" w:space="0" w:color="auto"/>
              <w:right w:val="single" w:sz="4" w:space="0" w:color="auto"/>
            </w:tcBorders>
            <w:vAlign w:val="center"/>
          </w:tcPr>
          <w:p w14:paraId="4CA59B75" w14:textId="77777777" w:rsidR="0044035E" w:rsidRPr="00CA4A72" w:rsidRDefault="0044035E" w:rsidP="006A1A41">
            <w:pPr>
              <w:spacing w:line="276" w:lineRule="auto"/>
              <w:jc w:val="center"/>
              <w:rPr>
                <w:rFonts w:asciiTheme="minorHAnsi" w:eastAsia="Times New Roman" w:hAnsiTheme="minorHAnsi" w:cstheme="minorHAnsi"/>
                <w:b/>
                <w:sz w:val="12"/>
                <w:szCs w:val="12"/>
                <w:lang w:eastAsia="en-GB"/>
              </w:rPr>
            </w:pPr>
            <w:r w:rsidRPr="00CA4A72">
              <w:rPr>
                <w:rFonts w:asciiTheme="minorHAnsi" w:eastAsia="Times New Roman" w:hAnsiTheme="minorHAnsi" w:cstheme="minorHAnsi"/>
                <w:b/>
                <w:sz w:val="12"/>
                <w:szCs w:val="12"/>
                <w:lang w:eastAsia="en-GB"/>
              </w:rPr>
              <w:t>2019</w:t>
            </w:r>
          </w:p>
          <w:p w14:paraId="0849A595" w14:textId="77777777" w:rsidR="0044035E" w:rsidRPr="00CA4A72" w:rsidRDefault="0044035E" w:rsidP="006A1A41">
            <w:pPr>
              <w:spacing w:line="276" w:lineRule="auto"/>
              <w:jc w:val="center"/>
              <w:rPr>
                <w:rFonts w:asciiTheme="minorHAnsi" w:eastAsia="Times New Roman" w:hAnsiTheme="minorHAnsi" w:cstheme="minorHAnsi"/>
                <w:b/>
                <w:sz w:val="12"/>
                <w:szCs w:val="12"/>
                <w:lang w:eastAsia="en-GB"/>
              </w:rPr>
            </w:pPr>
            <w:r w:rsidRPr="00CA4A72">
              <w:rPr>
                <w:rFonts w:asciiTheme="minorHAnsi" w:eastAsia="Times New Roman" w:hAnsiTheme="minorHAnsi" w:cstheme="minorHAnsi"/>
                <w:b/>
                <w:sz w:val="12"/>
                <w:szCs w:val="12"/>
                <w:lang w:eastAsia="en-GB"/>
              </w:rPr>
              <w:t>Non-IFRS</w:t>
            </w:r>
          </w:p>
        </w:tc>
        <w:tc>
          <w:tcPr>
            <w:tcW w:w="704" w:type="dxa"/>
            <w:tcBorders>
              <w:top w:val="single" w:sz="4" w:space="0" w:color="auto"/>
              <w:left w:val="single" w:sz="4" w:space="0" w:color="auto"/>
              <w:bottom w:val="single" w:sz="4" w:space="0" w:color="auto"/>
            </w:tcBorders>
            <w:vAlign w:val="center"/>
          </w:tcPr>
          <w:p w14:paraId="0C6202F3" w14:textId="77777777" w:rsidR="0044035E" w:rsidRPr="00CA4A72" w:rsidRDefault="0044035E" w:rsidP="006A1A41">
            <w:pPr>
              <w:spacing w:line="276" w:lineRule="auto"/>
              <w:jc w:val="center"/>
              <w:rPr>
                <w:rFonts w:asciiTheme="minorHAnsi" w:eastAsia="Times New Roman" w:hAnsiTheme="minorHAnsi" w:cstheme="minorHAnsi"/>
                <w:b/>
                <w:sz w:val="12"/>
                <w:szCs w:val="12"/>
                <w:lang w:eastAsia="en-GB"/>
              </w:rPr>
            </w:pPr>
            <w:r w:rsidRPr="00CA4A72">
              <w:rPr>
                <w:rFonts w:asciiTheme="minorHAnsi" w:eastAsia="Times New Roman" w:hAnsiTheme="minorHAnsi" w:cstheme="minorHAnsi"/>
                <w:b/>
                <w:sz w:val="12"/>
                <w:szCs w:val="12"/>
                <w:lang w:eastAsia="en-GB"/>
              </w:rPr>
              <w:t>IFRS</w:t>
            </w:r>
          </w:p>
        </w:tc>
        <w:tc>
          <w:tcPr>
            <w:tcW w:w="708" w:type="dxa"/>
            <w:tcBorders>
              <w:top w:val="single" w:sz="4" w:space="0" w:color="auto"/>
              <w:bottom w:val="single" w:sz="4" w:space="0" w:color="auto"/>
            </w:tcBorders>
            <w:vAlign w:val="center"/>
          </w:tcPr>
          <w:p w14:paraId="2717D223" w14:textId="77777777" w:rsidR="0044035E" w:rsidRDefault="0044035E" w:rsidP="006A1A41">
            <w:pPr>
              <w:spacing w:line="276" w:lineRule="auto"/>
              <w:jc w:val="center"/>
              <w:rPr>
                <w:rFonts w:asciiTheme="minorHAnsi" w:eastAsia="Times New Roman" w:hAnsiTheme="minorHAnsi" w:cstheme="minorHAnsi"/>
                <w:b/>
                <w:sz w:val="12"/>
                <w:szCs w:val="12"/>
                <w:lang w:eastAsia="en-GB"/>
              </w:rPr>
            </w:pPr>
            <w:r w:rsidRPr="00CA4A72">
              <w:rPr>
                <w:rFonts w:asciiTheme="minorHAnsi" w:eastAsia="Times New Roman" w:hAnsiTheme="minorHAnsi" w:cstheme="minorHAnsi"/>
                <w:b/>
                <w:sz w:val="12"/>
                <w:szCs w:val="12"/>
                <w:lang w:eastAsia="en-GB"/>
              </w:rPr>
              <w:t>Non-</w:t>
            </w:r>
          </w:p>
          <w:p w14:paraId="57E5427C" w14:textId="77777777" w:rsidR="0044035E" w:rsidRPr="00CA4A72" w:rsidRDefault="0044035E" w:rsidP="006A1A41">
            <w:pPr>
              <w:spacing w:line="276" w:lineRule="auto"/>
              <w:jc w:val="center"/>
              <w:rPr>
                <w:rFonts w:asciiTheme="minorHAnsi" w:eastAsia="Times New Roman" w:hAnsiTheme="minorHAnsi" w:cstheme="minorHAnsi"/>
                <w:b/>
                <w:sz w:val="12"/>
                <w:szCs w:val="12"/>
                <w:lang w:eastAsia="en-GB"/>
              </w:rPr>
            </w:pPr>
            <w:r w:rsidRPr="00CA4A72">
              <w:rPr>
                <w:rFonts w:asciiTheme="minorHAnsi" w:eastAsia="Times New Roman" w:hAnsiTheme="minorHAnsi" w:cstheme="minorHAnsi"/>
                <w:b/>
                <w:sz w:val="12"/>
                <w:szCs w:val="12"/>
                <w:lang w:eastAsia="en-GB"/>
              </w:rPr>
              <w:t>IFRS</w:t>
            </w:r>
          </w:p>
        </w:tc>
      </w:tr>
      <w:tr w:rsidR="0044035E" w:rsidRPr="00CA4A72" w14:paraId="3529CA1C" w14:textId="77777777" w:rsidTr="006A1A41">
        <w:trPr>
          <w:trHeight w:val="170"/>
        </w:trPr>
        <w:tc>
          <w:tcPr>
            <w:tcW w:w="1696" w:type="dxa"/>
            <w:tcBorders>
              <w:top w:val="single" w:sz="4" w:space="0" w:color="auto"/>
              <w:bottom w:val="nil"/>
              <w:right w:val="single" w:sz="4" w:space="0" w:color="auto"/>
            </w:tcBorders>
            <w:vAlign w:val="center"/>
            <w:hideMark/>
          </w:tcPr>
          <w:p w14:paraId="22EABB2A"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Cost of revenue</w:t>
            </w:r>
          </w:p>
        </w:tc>
        <w:tc>
          <w:tcPr>
            <w:tcW w:w="709" w:type="dxa"/>
            <w:tcBorders>
              <w:top w:val="single" w:sz="4" w:space="0" w:color="auto"/>
              <w:left w:val="single" w:sz="4" w:space="0" w:color="auto"/>
            </w:tcBorders>
            <w:shd w:val="clear" w:color="000000" w:fill="FFFFFF"/>
            <w:vAlign w:val="center"/>
          </w:tcPr>
          <w:p w14:paraId="221B0197"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(380.7)</w:t>
            </w:r>
          </w:p>
        </w:tc>
        <w:tc>
          <w:tcPr>
            <w:tcW w:w="987" w:type="dxa"/>
            <w:tcBorders>
              <w:top w:val="single" w:sz="4" w:space="0" w:color="auto"/>
            </w:tcBorders>
            <w:shd w:val="clear" w:color="000000" w:fill="FFFFFF"/>
            <w:vAlign w:val="center"/>
          </w:tcPr>
          <w:p w14:paraId="0118D4B4"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6.0</w:t>
            </w:r>
          </w:p>
        </w:tc>
        <w:tc>
          <w:tcPr>
            <w:tcW w:w="851" w:type="dxa"/>
            <w:tcBorders>
              <w:top w:val="single" w:sz="4" w:space="0" w:color="auto"/>
            </w:tcBorders>
            <w:shd w:val="clear" w:color="000000" w:fill="FFFFFF"/>
            <w:vAlign w:val="center"/>
          </w:tcPr>
          <w:p w14:paraId="30A49E83"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0.4</w:t>
            </w:r>
          </w:p>
        </w:tc>
        <w:tc>
          <w:tcPr>
            <w:tcW w:w="709" w:type="dxa"/>
            <w:tcBorders>
              <w:top w:val="single" w:sz="4" w:space="0" w:color="auto"/>
              <w:right w:val="single" w:sz="4" w:space="0" w:color="auto"/>
            </w:tcBorders>
            <w:shd w:val="clear" w:color="000000" w:fill="FFFFFF"/>
            <w:vAlign w:val="center"/>
          </w:tcPr>
          <w:p w14:paraId="3661C602"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(374.3)</w:t>
            </w:r>
          </w:p>
        </w:tc>
        <w:tc>
          <w:tcPr>
            <w:tcW w:w="713" w:type="dxa"/>
            <w:tcBorders>
              <w:top w:val="single" w:sz="4" w:space="0" w:color="auto"/>
              <w:left w:val="single" w:sz="4" w:space="0" w:color="auto"/>
            </w:tcBorders>
            <w:shd w:val="clear" w:color="000000" w:fill="FFFFFF"/>
            <w:vAlign w:val="center"/>
          </w:tcPr>
          <w:p w14:paraId="5FF60577"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(296.1)</w:t>
            </w:r>
          </w:p>
        </w:tc>
        <w:tc>
          <w:tcPr>
            <w:tcW w:w="993" w:type="dxa"/>
            <w:tcBorders>
              <w:top w:val="single" w:sz="4" w:space="0" w:color="auto"/>
            </w:tcBorders>
            <w:shd w:val="clear" w:color="000000" w:fill="FFFFFF"/>
            <w:vAlign w:val="center"/>
          </w:tcPr>
          <w:p w14:paraId="7C3C9A5E" w14:textId="77777777" w:rsidR="0044035E" w:rsidRPr="00A455FD" w:rsidRDefault="0044035E" w:rsidP="006A1A41">
            <w:pPr>
              <w:spacing w:line="276" w:lineRule="auto"/>
              <w:jc w:val="center"/>
              <w:rPr>
                <w:rFonts w:asciiTheme="minorHAnsi" w:hAnsiTheme="minorHAnsi" w:cstheme="minorHAnsi"/>
                <w:sz w:val="12"/>
                <w:szCs w:val="12"/>
              </w:rPr>
            </w:pPr>
            <w:r w:rsidRPr="00A455FD">
              <w:rPr>
                <w:rFonts w:asciiTheme="minorHAnsi" w:hAnsiTheme="minorHAnsi" w:cstheme="minorHAnsi"/>
                <w:color w:val="000000"/>
                <w:sz w:val="12"/>
                <w:szCs w:val="12"/>
              </w:rPr>
              <w:t>3.5</w:t>
            </w:r>
          </w:p>
        </w:tc>
        <w:tc>
          <w:tcPr>
            <w:tcW w:w="850" w:type="dxa"/>
            <w:tcBorders>
              <w:top w:val="single" w:sz="4" w:space="0" w:color="auto"/>
            </w:tcBorders>
            <w:shd w:val="clear" w:color="000000" w:fill="FFFFFF"/>
            <w:vAlign w:val="center"/>
          </w:tcPr>
          <w:p w14:paraId="3BFAF6D1"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w:t>
            </w:r>
          </w:p>
        </w:tc>
        <w:tc>
          <w:tcPr>
            <w:tcW w:w="709" w:type="dxa"/>
            <w:tcBorders>
              <w:top w:val="single" w:sz="4" w:space="0" w:color="auto"/>
              <w:right w:val="single" w:sz="4" w:space="0" w:color="auto"/>
            </w:tcBorders>
            <w:shd w:val="clear" w:color="000000" w:fill="FFFFFF"/>
            <w:vAlign w:val="center"/>
          </w:tcPr>
          <w:p w14:paraId="25DB94B5"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(292.6)</w:t>
            </w:r>
          </w:p>
        </w:tc>
        <w:tc>
          <w:tcPr>
            <w:tcW w:w="704" w:type="dxa"/>
            <w:tcBorders>
              <w:top w:val="single" w:sz="4" w:space="0" w:color="auto"/>
              <w:left w:val="single" w:sz="4" w:space="0" w:color="auto"/>
            </w:tcBorders>
            <w:shd w:val="clear" w:color="000000" w:fill="FFFFFF"/>
            <w:vAlign w:val="center"/>
          </w:tcPr>
          <w:p w14:paraId="73E4A2FE"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29%</w:t>
            </w:r>
          </w:p>
        </w:tc>
        <w:tc>
          <w:tcPr>
            <w:tcW w:w="708" w:type="dxa"/>
            <w:tcBorders>
              <w:top w:val="single" w:sz="4" w:space="0" w:color="auto"/>
            </w:tcBorders>
            <w:shd w:val="clear" w:color="000000" w:fill="FFFFFF"/>
            <w:vAlign w:val="center"/>
          </w:tcPr>
          <w:p w14:paraId="254DCFCE"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28%</w:t>
            </w:r>
          </w:p>
        </w:tc>
      </w:tr>
      <w:tr w:rsidR="0044035E" w:rsidRPr="00CA4A72" w14:paraId="117ABA39" w14:textId="77777777" w:rsidTr="006A1A41">
        <w:trPr>
          <w:trHeight w:val="170"/>
        </w:trPr>
        <w:tc>
          <w:tcPr>
            <w:tcW w:w="1696" w:type="dxa"/>
            <w:tcBorders>
              <w:top w:val="nil"/>
              <w:bottom w:val="nil"/>
              <w:right w:val="single" w:sz="4" w:space="0" w:color="auto"/>
            </w:tcBorders>
            <w:vAlign w:val="center"/>
            <w:hideMark/>
          </w:tcPr>
          <w:p w14:paraId="1F3B5776"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Research and development</w:t>
            </w:r>
          </w:p>
        </w:tc>
        <w:tc>
          <w:tcPr>
            <w:tcW w:w="709" w:type="dxa"/>
            <w:tcBorders>
              <w:left w:val="single" w:sz="4" w:space="0" w:color="auto"/>
            </w:tcBorders>
            <w:shd w:val="clear" w:color="000000" w:fill="FFFFFF"/>
            <w:vAlign w:val="center"/>
          </w:tcPr>
          <w:p w14:paraId="429701B0"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(473.6)</w:t>
            </w:r>
          </w:p>
        </w:tc>
        <w:tc>
          <w:tcPr>
            <w:tcW w:w="987" w:type="dxa"/>
            <w:shd w:val="clear" w:color="000000" w:fill="FFFFFF"/>
            <w:vAlign w:val="center"/>
          </w:tcPr>
          <w:p w14:paraId="3628A324"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36.8</w:t>
            </w:r>
          </w:p>
        </w:tc>
        <w:tc>
          <w:tcPr>
            <w:tcW w:w="851" w:type="dxa"/>
            <w:shd w:val="clear" w:color="000000" w:fill="FFFFFF"/>
            <w:vAlign w:val="center"/>
          </w:tcPr>
          <w:p w14:paraId="50076CA0"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0.7</w:t>
            </w:r>
          </w:p>
        </w:tc>
        <w:tc>
          <w:tcPr>
            <w:tcW w:w="709" w:type="dxa"/>
            <w:tcBorders>
              <w:right w:val="single" w:sz="4" w:space="0" w:color="auto"/>
            </w:tcBorders>
            <w:shd w:val="clear" w:color="000000" w:fill="FFFFFF"/>
            <w:vAlign w:val="center"/>
          </w:tcPr>
          <w:p w14:paraId="47DF1A14"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(436.2)</w:t>
            </w:r>
          </w:p>
        </w:tc>
        <w:tc>
          <w:tcPr>
            <w:tcW w:w="713" w:type="dxa"/>
            <w:tcBorders>
              <w:left w:val="single" w:sz="4" w:space="0" w:color="auto"/>
            </w:tcBorders>
            <w:shd w:val="clear" w:color="000000" w:fill="FFFFFF"/>
            <w:vAlign w:val="center"/>
          </w:tcPr>
          <w:p w14:paraId="54F856F1"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(357.2)</w:t>
            </w:r>
          </w:p>
        </w:tc>
        <w:tc>
          <w:tcPr>
            <w:tcW w:w="993" w:type="dxa"/>
            <w:shd w:val="clear" w:color="000000" w:fill="FFFFFF"/>
            <w:vAlign w:val="center"/>
          </w:tcPr>
          <w:p w14:paraId="562C480C" w14:textId="77777777" w:rsidR="0044035E" w:rsidRPr="00A455FD" w:rsidRDefault="0044035E" w:rsidP="006A1A41">
            <w:pPr>
              <w:spacing w:line="276" w:lineRule="auto"/>
              <w:jc w:val="center"/>
              <w:rPr>
                <w:rFonts w:asciiTheme="minorHAnsi" w:hAnsiTheme="minorHAnsi" w:cstheme="minorHAnsi"/>
                <w:sz w:val="12"/>
                <w:szCs w:val="12"/>
              </w:rPr>
            </w:pPr>
            <w:r w:rsidRPr="00A455FD">
              <w:rPr>
                <w:rFonts w:asciiTheme="minorHAnsi" w:hAnsiTheme="minorHAnsi" w:cstheme="minorHAnsi"/>
                <w:color w:val="000000"/>
                <w:sz w:val="12"/>
                <w:szCs w:val="12"/>
              </w:rPr>
              <w:t>34.9</w:t>
            </w:r>
          </w:p>
        </w:tc>
        <w:tc>
          <w:tcPr>
            <w:tcW w:w="850" w:type="dxa"/>
            <w:shd w:val="clear" w:color="000000" w:fill="FFFFFF"/>
            <w:vAlign w:val="center"/>
          </w:tcPr>
          <w:p w14:paraId="7BD4CECB"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w:t>
            </w:r>
          </w:p>
        </w:tc>
        <w:tc>
          <w:tcPr>
            <w:tcW w:w="709" w:type="dxa"/>
            <w:tcBorders>
              <w:right w:val="single" w:sz="4" w:space="0" w:color="auto"/>
            </w:tcBorders>
            <w:shd w:val="clear" w:color="000000" w:fill="FFFFFF"/>
            <w:vAlign w:val="center"/>
          </w:tcPr>
          <w:p w14:paraId="2E0E4B2A"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(322.3)</w:t>
            </w:r>
          </w:p>
        </w:tc>
        <w:tc>
          <w:tcPr>
            <w:tcW w:w="704" w:type="dxa"/>
            <w:tcBorders>
              <w:left w:val="single" w:sz="4" w:space="0" w:color="auto"/>
            </w:tcBorders>
            <w:shd w:val="clear" w:color="000000" w:fill="FFFFFF"/>
            <w:vAlign w:val="center"/>
          </w:tcPr>
          <w:p w14:paraId="75666930"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33%</w:t>
            </w:r>
          </w:p>
        </w:tc>
        <w:tc>
          <w:tcPr>
            <w:tcW w:w="708" w:type="dxa"/>
            <w:shd w:val="clear" w:color="000000" w:fill="FFFFFF"/>
            <w:vAlign w:val="center"/>
          </w:tcPr>
          <w:p w14:paraId="74DE5BF5"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35%</w:t>
            </w:r>
          </w:p>
        </w:tc>
      </w:tr>
      <w:tr w:rsidR="0044035E" w:rsidRPr="00CA4A72" w14:paraId="1AD925CA" w14:textId="77777777" w:rsidTr="006A1A41">
        <w:trPr>
          <w:trHeight w:val="170"/>
        </w:trPr>
        <w:tc>
          <w:tcPr>
            <w:tcW w:w="1696" w:type="dxa"/>
            <w:tcBorders>
              <w:top w:val="nil"/>
              <w:bottom w:val="nil"/>
              <w:right w:val="single" w:sz="4" w:space="0" w:color="auto"/>
            </w:tcBorders>
            <w:vAlign w:val="center"/>
            <w:hideMark/>
          </w:tcPr>
          <w:p w14:paraId="2C46C5B2"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Marketing and sales</w:t>
            </w:r>
          </w:p>
        </w:tc>
        <w:tc>
          <w:tcPr>
            <w:tcW w:w="709" w:type="dxa"/>
            <w:tcBorders>
              <w:left w:val="single" w:sz="4" w:space="0" w:color="auto"/>
            </w:tcBorders>
            <w:shd w:val="clear" w:color="000000" w:fill="FFFFFF"/>
            <w:vAlign w:val="center"/>
          </w:tcPr>
          <w:p w14:paraId="321AFEDA"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(647.2)</w:t>
            </w:r>
          </w:p>
        </w:tc>
        <w:tc>
          <w:tcPr>
            <w:tcW w:w="987" w:type="dxa"/>
            <w:shd w:val="clear" w:color="000000" w:fill="FFFFFF"/>
            <w:vAlign w:val="center"/>
          </w:tcPr>
          <w:p w14:paraId="50AFCC15"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30.2</w:t>
            </w:r>
          </w:p>
        </w:tc>
        <w:tc>
          <w:tcPr>
            <w:tcW w:w="851" w:type="dxa"/>
            <w:shd w:val="clear" w:color="000000" w:fill="FFFFFF"/>
            <w:vAlign w:val="center"/>
          </w:tcPr>
          <w:p w14:paraId="03352823"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0.2</w:t>
            </w:r>
          </w:p>
        </w:tc>
        <w:tc>
          <w:tcPr>
            <w:tcW w:w="709" w:type="dxa"/>
            <w:tcBorders>
              <w:right w:val="single" w:sz="4" w:space="0" w:color="auto"/>
            </w:tcBorders>
            <w:shd w:val="clear" w:color="000000" w:fill="FFFFFF"/>
            <w:vAlign w:val="center"/>
          </w:tcPr>
          <w:p w14:paraId="29516669"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(616.8)</w:t>
            </w:r>
          </w:p>
        </w:tc>
        <w:tc>
          <w:tcPr>
            <w:tcW w:w="713" w:type="dxa"/>
            <w:tcBorders>
              <w:left w:val="single" w:sz="4" w:space="0" w:color="auto"/>
            </w:tcBorders>
            <w:shd w:val="clear" w:color="000000" w:fill="FFFFFF"/>
            <w:vAlign w:val="center"/>
          </w:tcPr>
          <w:p w14:paraId="32D29D9E"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(591.7)</w:t>
            </w:r>
          </w:p>
        </w:tc>
        <w:tc>
          <w:tcPr>
            <w:tcW w:w="993" w:type="dxa"/>
            <w:shd w:val="clear" w:color="000000" w:fill="FFFFFF"/>
            <w:vAlign w:val="center"/>
          </w:tcPr>
          <w:p w14:paraId="54F58E37" w14:textId="77777777" w:rsidR="0044035E" w:rsidRPr="00A455FD" w:rsidRDefault="0044035E" w:rsidP="006A1A41">
            <w:pPr>
              <w:spacing w:line="276" w:lineRule="auto"/>
              <w:jc w:val="center"/>
              <w:rPr>
                <w:rFonts w:asciiTheme="minorHAnsi" w:hAnsiTheme="minorHAnsi" w:cstheme="minorHAnsi"/>
                <w:sz w:val="12"/>
                <w:szCs w:val="12"/>
              </w:rPr>
            </w:pPr>
            <w:r w:rsidRPr="00A455FD">
              <w:rPr>
                <w:rFonts w:asciiTheme="minorHAnsi" w:hAnsiTheme="minorHAnsi" w:cstheme="minorHAnsi"/>
                <w:color w:val="000000"/>
                <w:sz w:val="12"/>
                <w:szCs w:val="12"/>
              </w:rPr>
              <w:t>23.1</w:t>
            </w:r>
          </w:p>
        </w:tc>
        <w:tc>
          <w:tcPr>
            <w:tcW w:w="850" w:type="dxa"/>
            <w:shd w:val="clear" w:color="000000" w:fill="FFFFFF"/>
            <w:vAlign w:val="center"/>
          </w:tcPr>
          <w:p w14:paraId="6B5DA952"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w:t>
            </w:r>
          </w:p>
        </w:tc>
        <w:tc>
          <w:tcPr>
            <w:tcW w:w="709" w:type="dxa"/>
            <w:tcBorders>
              <w:right w:val="single" w:sz="4" w:space="0" w:color="auto"/>
            </w:tcBorders>
            <w:shd w:val="clear" w:color="000000" w:fill="FFFFFF"/>
            <w:vAlign w:val="center"/>
          </w:tcPr>
          <w:p w14:paraId="0335AAB9"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(568.6)</w:t>
            </w:r>
          </w:p>
        </w:tc>
        <w:tc>
          <w:tcPr>
            <w:tcW w:w="704" w:type="dxa"/>
            <w:tcBorders>
              <w:left w:val="single" w:sz="4" w:space="0" w:color="auto"/>
            </w:tcBorders>
            <w:shd w:val="clear" w:color="000000" w:fill="FFFFFF"/>
            <w:vAlign w:val="center"/>
          </w:tcPr>
          <w:p w14:paraId="3CE33F78"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9%</w:t>
            </w:r>
          </w:p>
        </w:tc>
        <w:tc>
          <w:tcPr>
            <w:tcW w:w="708" w:type="dxa"/>
            <w:shd w:val="clear" w:color="000000" w:fill="FFFFFF"/>
            <w:vAlign w:val="center"/>
          </w:tcPr>
          <w:p w14:paraId="7506A447"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8%</w:t>
            </w:r>
          </w:p>
        </w:tc>
      </w:tr>
      <w:tr w:rsidR="0044035E" w:rsidRPr="00CA4A72" w14:paraId="3B2F297B" w14:textId="77777777" w:rsidTr="006A1A41">
        <w:trPr>
          <w:trHeight w:val="170"/>
        </w:trPr>
        <w:tc>
          <w:tcPr>
            <w:tcW w:w="1696" w:type="dxa"/>
            <w:tcBorders>
              <w:top w:val="nil"/>
              <w:bottom w:val="nil"/>
              <w:right w:val="single" w:sz="4" w:space="0" w:color="auto"/>
            </w:tcBorders>
            <w:vAlign w:val="center"/>
            <w:hideMark/>
          </w:tcPr>
          <w:p w14:paraId="178B82BD" w14:textId="77777777" w:rsidR="0044035E" w:rsidRPr="00CA4A72" w:rsidRDefault="0044035E" w:rsidP="006A1A41">
            <w:pPr>
              <w:spacing w:line="276" w:lineRule="auto"/>
              <w:rPr>
                <w:rFonts w:asciiTheme="minorHAnsi" w:eastAsia="Times New Roman" w:hAnsiTheme="minorHAnsi" w:cstheme="minorHAnsi"/>
                <w:sz w:val="12"/>
                <w:szCs w:val="12"/>
                <w:lang w:eastAsia="en-GB"/>
              </w:rPr>
            </w:pPr>
            <w:r w:rsidRPr="00CA4A72">
              <w:rPr>
                <w:rFonts w:asciiTheme="minorHAnsi" w:hAnsiTheme="minorHAnsi" w:cstheme="minorHAnsi"/>
                <w:sz w:val="12"/>
                <w:szCs w:val="12"/>
              </w:rPr>
              <w:t>General and administrative</w:t>
            </w:r>
          </w:p>
        </w:tc>
        <w:tc>
          <w:tcPr>
            <w:tcW w:w="709" w:type="dxa"/>
            <w:tcBorders>
              <w:left w:val="single" w:sz="4" w:space="0" w:color="auto"/>
            </w:tcBorders>
            <w:shd w:val="clear" w:color="000000" w:fill="FFFFFF"/>
            <w:vAlign w:val="center"/>
          </w:tcPr>
          <w:p w14:paraId="5E2343A8"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(198.4)</w:t>
            </w:r>
          </w:p>
        </w:tc>
        <w:tc>
          <w:tcPr>
            <w:tcW w:w="987" w:type="dxa"/>
            <w:shd w:val="clear" w:color="000000" w:fill="FFFFFF"/>
            <w:vAlign w:val="center"/>
          </w:tcPr>
          <w:p w14:paraId="09E76A50"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30.9</w:t>
            </w:r>
          </w:p>
        </w:tc>
        <w:tc>
          <w:tcPr>
            <w:tcW w:w="851" w:type="dxa"/>
            <w:shd w:val="clear" w:color="000000" w:fill="FFFFFF"/>
            <w:vAlign w:val="center"/>
          </w:tcPr>
          <w:p w14:paraId="0DE63038"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0.2</w:t>
            </w:r>
          </w:p>
        </w:tc>
        <w:tc>
          <w:tcPr>
            <w:tcW w:w="709" w:type="dxa"/>
            <w:tcBorders>
              <w:right w:val="single" w:sz="4" w:space="0" w:color="auto"/>
            </w:tcBorders>
            <w:shd w:val="clear" w:color="000000" w:fill="FFFFFF"/>
            <w:vAlign w:val="center"/>
          </w:tcPr>
          <w:p w14:paraId="52D48DD0"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(167.3)</w:t>
            </w:r>
          </w:p>
        </w:tc>
        <w:tc>
          <w:tcPr>
            <w:tcW w:w="713" w:type="dxa"/>
            <w:tcBorders>
              <w:left w:val="single" w:sz="4" w:space="0" w:color="auto"/>
            </w:tcBorders>
            <w:shd w:val="clear" w:color="000000" w:fill="FFFFFF"/>
            <w:vAlign w:val="center"/>
          </w:tcPr>
          <w:p w14:paraId="3F514A9D"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(152.3)</w:t>
            </w:r>
          </w:p>
        </w:tc>
        <w:tc>
          <w:tcPr>
            <w:tcW w:w="993" w:type="dxa"/>
            <w:shd w:val="clear" w:color="000000" w:fill="FFFFFF"/>
            <w:vAlign w:val="center"/>
          </w:tcPr>
          <w:p w14:paraId="2CA85203" w14:textId="77777777" w:rsidR="0044035E" w:rsidRPr="00A455FD" w:rsidRDefault="0044035E" w:rsidP="006A1A41">
            <w:pPr>
              <w:spacing w:line="276" w:lineRule="auto"/>
              <w:jc w:val="center"/>
              <w:rPr>
                <w:rFonts w:asciiTheme="minorHAnsi" w:hAnsiTheme="minorHAnsi" w:cstheme="minorHAnsi"/>
                <w:sz w:val="12"/>
                <w:szCs w:val="12"/>
              </w:rPr>
            </w:pPr>
            <w:r w:rsidRPr="00A455FD">
              <w:rPr>
                <w:rFonts w:asciiTheme="minorHAnsi" w:hAnsiTheme="minorHAnsi" w:cstheme="minorHAnsi"/>
                <w:color w:val="000000"/>
                <w:sz w:val="12"/>
                <w:szCs w:val="12"/>
              </w:rPr>
              <w:t>19.0</w:t>
            </w:r>
          </w:p>
        </w:tc>
        <w:tc>
          <w:tcPr>
            <w:tcW w:w="850" w:type="dxa"/>
            <w:shd w:val="clear" w:color="000000" w:fill="FFFFFF"/>
            <w:vAlign w:val="center"/>
          </w:tcPr>
          <w:p w14:paraId="505F02EC"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w:t>
            </w:r>
          </w:p>
        </w:tc>
        <w:tc>
          <w:tcPr>
            <w:tcW w:w="709" w:type="dxa"/>
            <w:tcBorders>
              <w:right w:val="single" w:sz="4" w:space="0" w:color="auto"/>
            </w:tcBorders>
            <w:shd w:val="clear" w:color="000000" w:fill="FFFFFF"/>
            <w:vAlign w:val="center"/>
          </w:tcPr>
          <w:p w14:paraId="67FFFCA9"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(133.3)</w:t>
            </w:r>
          </w:p>
        </w:tc>
        <w:tc>
          <w:tcPr>
            <w:tcW w:w="704" w:type="dxa"/>
            <w:tcBorders>
              <w:left w:val="single" w:sz="4" w:space="0" w:color="auto"/>
            </w:tcBorders>
            <w:shd w:val="clear" w:color="000000" w:fill="FFFFFF"/>
            <w:vAlign w:val="center"/>
          </w:tcPr>
          <w:p w14:paraId="628CD2EF"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30%</w:t>
            </w:r>
          </w:p>
        </w:tc>
        <w:tc>
          <w:tcPr>
            <w:tcW w:w="708" w:type="dxa"/>
            <w:shd w:val="clear" w:color="000000" w:fill="FFFFFF"/>
            <w:vAlign w:val="center"/>
          </w:tcPr>
          <w:p w14:paraId="4F84F81C"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r w:rsidRPr="00A455FD">
              <w:rPr>
                <w:rFonts w:asciiTheme="minorHAnsi" w:hAnsiTheme="minorHAnsi" w:cstheme="minorHAnsi"/>
                <w:color w:val="000000"/>
                <w:sz w:val="12"/>
                <w:szCs w:val="12"/>
              </w:rPr>
              <w:t>26%</w:t>
            </w:r>
          </w:p>
        </w:tc>
      </w:tr>
      <w:tr w:rsidR="0044035E" w:rsidRPr="00CA4A72" w14:paraId="50EB7F21" w14:textId="77777777" w:rsidTr="006A1A41">
        <w:trPr>
          <w:trHeight w:val="170"/>
        </w:trPr>
        <w:tc>
          <w:tcPr>
            <w:tcW w:w="1696" w:type="dxa"/>
            <w:tcBorders>
              <w:top w:val="nil"/>
              <w:bottom w:val="single" w:sz="4" w:space="0" w:color="auto"/>
              <w:right w:val="single" w:sz="4" w:space="0" w:color="auto"/>
            </w:tcBorders>
            <w:vAlign w:val="center"/>
            <w:hideMark/>
          </w:tcPr>
          <w:p w14:paraId="1B572F53" w14:textId="77777777" w:rsidR="0044035E" w:rsidRPr="00CA4A72" w:rsidRDefault="0044035E" w:rsidP="006A1A41">
            <w:pPr>
              <w:spacing w:line="276" w:lineRule="auto"/>
              <w:rPr>
                <w:rFonts w:asciiTheme="minorHAnsi" w:eastAsia="Times New Roman" w:hAnsiTheme="minorHAnsi" w:cstheme="minorHAnsi"/>
                <w:b/>
                <w:bCs/>
                <w:sz w:val="12"/>
                <w:szCs w:val="12"/>
                <w:lang w:eastAsia="en-GB"/>
              </w:rPr>
            </w:pPr>
            <w:r w:rsidRPr="00CA4A72">
              <w:rPr>
                <w:rFonts w:asciiTheme="minorHAnsi" w:hAnsiTheme="minorHAnsi" w:cstheme="minorHAnsi"/>
                <w:b/>
                <w:bCs/>
                <w:sz w:val="12"/>
                <w:szCs w:val="12"/>
              </w:rPr>
              <w:t>Total</w:t>
            </w:r>
          </w:p>
        </w:tc>
        <w:tc>
          <w:tcPr>
            <w:tcW w:w="709" w:type="dxa"/>
            <w:tcBorders>
              <w:left w:val="single" w:sz="4" w:space="0" w:color="auto"/>
            </w:tcBorders>
            <w:shd w:val="clear" w:color="000000" w:fill="FFFFFF"/>
            <w:vAlign w:val="center"/>
          </w:tcPr>
          <w:p w14:paraId="7ABF3C3F"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p>
        </w:tc>
        <w:tc>
          <w:tcPr>
            <w:tcW w:w="987" w:type="dxa"/>
            <w:shd w:val="clear" w:color="000000" w:fill="FFFFFF"/>
            <w:vAlign w:val="center"/>
          </w:tcPr>
          <w:p w14:paraId="15772677"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€ 103.8</w:t>
            </w:r>
          </w:p>
        </w:tc>
        <w:tc>
          <w:tcPr>
            <w:tcW w:w="851" w:type="dxa"/>
            <w:shd w:val="clear" w:color="000000" w:fill="FFFFFF"/>
            <w:noWrap/>
            <w:vAlign w:val="center"/>
          </w:tcPr>
          <w:p w14:paraId="170B5429"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€ 1.5</w:t>
            </w:r>
          </w:p>
        </w:tc>
        <w:tc>
          <w:tcPr>
            <w:tcW w:w="709" w:type="dxa"/>
            <w:tcBorders>
              <w:bottom w:val="single" w:sz="4" w:space="0" w:color="auto"/>
              <w:right w:val="single" w:sz="4" w:space="0" w:color="auto"/>
            </w:tcBorders>
            <w:shd w:val="clear" w:color="000000" w:fill="FFFFFF"/>
            <w:vAlign w:val="center"/>
          </w:tcPr>
          <w:p w14:paraId="28A873D3"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p>
        </w:tc>
        <w:tc>
          <w:tcPr>
            <w:tcW w:w="713" w:type="dxa"/>
            <w:tcBorders>
              <w:left w:val="single" w:sz="4" w:space="0" w:color="auto"/>
            </w:tcBorders>
            <w:shd w:val="clear" w:color="auto" w:fill="auto"/>
            <w:vAlign w:val="center"/>
          </w:tcPr>
          <w:p w14:paraId="617031B4"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p>
        </w:tc>
        <w:tc>
          <w:tcPr>
            <w:tcW w:w="993" w:type="dxa"/>
            <w:shd w:val="clear" w:color="000000" w:fill="FFFFFF"/>
            <w:vAlign w:val="center"/>
          </w:tcPr>
          <w:p w14:paraId="282FAE3E" w14:textId="77777777" w:rsidR="0044035E" w:rsidRPr="00A455FD" w:rsidRDefault="0044035E" w:rsidP="006A1A41">
            <w:pPr>
              <w:spacing w:line="276" w:lineRule="auto"/>
              <w:jc w:val="center"/>
              <w:rPr>
                <w:rFonts w:asciiTheme="minorHAnsi" w:hAnsiTheme="minorHAnsi" w:cstheme="minorHAnsi"/>
                <w:b/>
                <w:bCs/>
                <w:sz w:val="12"/>
                <w:szCs w:val="12"/>
              </w:rPr>
            </w:pPr>
            <w:r w:rsidRPr="00A455FD">
              <w:rPr>
                <w:rFonts w:asciiTheme="minorHAnsi" w:hAnsiTheme="minorHAnsi" w:cstheme="minorHAnsi"/>
                <w:b/>
                <w:bCs/>
                <w:color w:val="000000"/>
                <w:sz w:val="12"/>
                <w:szCs w:val="12"/>
              </w:rPr>
              <w:t>€ 80.5</w:t>
            </w:r>
          </w:p>
        </w:tc>
        <w:tc>
          <w:tcPr>
            <w:tcW w:w="850" w:type="dxa"/>
            <w:shd w:val="clear" w:color="000000" w:fill="FFFFFF"/>
            <w:noWrap/>
            <w:vAlign w:val="center"/>
          </w:tcPr>
          <w:p w14:paraId="483C50EC"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r w:rsidRPr="00A455FD">
              <w:rPr>
                <w:rFonts w:asciiTheme="minorHAnsi" w:hAnsiTheme="minorHAnsi" w:cstheme="minorHAnsi"/>
                <w:b/>
                <w:bCs/>
                <w:color w:val="000000"/>
                <w:sz w:val="12"/>
                <w:szCs w:val="12"/>
              </w:rPr>
              <w:t>€ -</w:t>
            </w:r>
          </w:p>
        </w:tc>
        <w:tc>
          <w:tcPr>
            <w:tcW w:w="709" w:type="dxa"/>
            <w:tcBorders>
              <w:bottom w:val="single" w:sz="4" w:space="0" w:color="auto"/>
              <w:right w:val="single" w:sz="4" w:space="0" w:color="auto"/>
            </w:tcBorders>
            <w:shd w:val="clear" w:color="auto" w:fill="auto"/>
            <w:vAlign w:val="center"/>
          </w:tcPr>
          <w:p w14:paraId="4CF943C0" w14:textId="77777777" w:rsidR="0044035E" w:rsidRPr="00A455FD" w:rsidRDefault="0044035E" w:rsidP="006A1A41">
            <w:pPr>
              <w:spacing w:line="276" w:lineRule="auto"/>
              <w:jc w:val="center"/>
              <w:rPr>
                <w:rFonts w:asciiTheme="minorHAnsi" w:eastAsia="Times New Roman" w:hAnsiTheme="minorHAnsi" w:cstheme="minorHAnsi"/>
                <w:b/>
                <w:bCs/>
                <w:sz w:val="12"/>
                <w:szCs w:val="12"/>
                <w:lang w:eastAsia="en-GB"/>
              </w:rPr>
            </w:pPr>
          </w:p>
        </w:tc>
        <w:tc>
          <w:tcPr>
            <w:tcW w:w="704" w:type="dxa"/>
            <w:tcBorders>
              <w:left w:val="single" w:sz="4" w:space="0" w:color="auto"/>
            </w:tcBorders>
            <w:shd w:val="clear" w:color="auto" w:fill="auto"/>
            <w:noWrap/>
            <w:vAlign w:val="center"/>
          </w:tcPr>
          <w:p w14:paraId="11A90AAC"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p>
        </w:tc>
        <w:tc>
          <w:tcPr>
            <w:tcW w:w="708" w:type="dxa"/>
            <w:shd w:val="clear" w:color="auto" w:fill="auto"/>
            <w:noWrap/>
            <w:vAlign w:val="center"/>
          </w:tcPr>
          <w:p w14:paraId="1D0B2DDF" w14:textId="77777777" w:rsidR="0044035E" w:rsidRPr="00A455FD" w:rsidRDefault="0044035E" w:rsidP="006A1A41">
            <w:pPr>
              <w:spacing w:line="276" w:lineRule="auto"/>
              <w:jc w:val="center"/>
              <w:rPr>
                <w:rFonts w:asciiTheme="minorHAnsi" w:eastAsia="Times New Roman" w:hAnsiTheme="minorHAnsi" w:cstheme="minorHAnsi"/>
                <w:sz w:val="12"/>
                <w:szCs w:val="12"/>
                <w:lang w:eastAsia="en-GB"/>
              </w:rPr>
            </w:pPr>
          </w:p>
        </w:tc>
      </w:tr>
    </w:tbl>
    <w:p w14:paraId="7578FAE3" w14:textId="77777777" w:rsidR="0044035E" w:rsidRPr="00D27EF3" w:rsidRDefault="0044035E" w:rsidP="0044035E">
      <w:pPr>
        <w:spacing w:line="276" w:lineRule="auto"/>
        <w:ind w:right="-113"/>
        <w:rPr>
          <w:rFonts w:asciiTheme="minorHAnsi" w:eastAsia="MS Mincho" w:hAnsiTheme="minorHAnsi" w:cstheme="minorHAnsi"/>
          <w:bCs/>
          <w:color w:val="000000"/>
          <w:sz w:val="14"/>
          <w:szCs w:val="14"/>
          <w:lang w:eastAsia="ja-JP"/>
        </w:rPr>
      </w:pPr>
      <w:r w:rsidRPr="002C073C">
        <w:rPr>
          <w:rFonts w:asciiTheme="minorHAnsi" w:eastAsia="MS Mincho" w:hAnsiTheme="minorHAnsi" w:cstheme="minorHAnsi"/>
          <w:bCs/>
          <w:color w:val="000000"/>
          <w:sz w:val="14"/>
          <w:szCs w:val="14"/>
          <w:vertAlign w:val="superscript"/>
          <w:lang w:eastAsia="ja-JP"/>
        </w:rPr>
        <w:t>(2)</w:t>
      </w:r>
      <w:r w:rsidRPr="00D27EF3">
        <w:rPr>
          <w:rFonts w:asciiTheme="minorHAnsi" w:eastAsia="MS Mincho" w:hAnsiTheme="minorHAnsi" w:cstheme="minorHAnsi"/>
          <w:bCs/>
          <w:color w:val="000000"/>
          <w:sz w:val="14"/>
          <w:szCs w:val="14"/>
          <w:lang w:eastAsia="ja-JP"/>
        </w:rPr>
        <w:t xml:space="preserve"> Excluding ENOVIA Life Sciences Com</w:t>
      </w:r>
      <w:r>
        <w:rPr>
          <w:rFonts w:asciiTheme="minorHAnsi" w:eastAsia="MS Mincho" w:hAnsiTheme="minorHAnsi" w:cstheme="minorHAnsi"/>
          <w:bCs/>
          <w:color w:val="000000"/>
          <w:sz w:val="14"/>
          <w:szCs w:val="14"/>
          <w:lang w:eastAsia="ja-JP"/>
        </w:rPr>
        <w:t xml:space="preserve">pliance and Quality Management </w:t>
      </w:r>
      <w:r w:rsidRPr="0031582A">
        <w:rPr>
          <w:rFonts w:asciiTheme="minorHAnsi" w:eastAsia="MS Mincho" w:hAnsiTheme="minorHAnsi" w:cstheme="minorHAnsi"/>
          <w:bCs/>
          <w:color w:val="000000"/>
          <w:sz w:val="14"/>
          <w:szCs w:val="14"/>
          <w:lang w:eastAsia="ja-JP"/>
        </w:rPr>
        <w:t>(YTD 2019: €7.0m)</w:t>
      </w:r>
      <w:r>
        <w:rPr>
          <w:rFonts w:asciiTheme="minorHAnsi" w:eastAsia="MS Mincho" w:hAnsiTheme="minorHAnsi" w:cstheme="minorHAnsi"/>
          <w:bCs/>
          <w:color w:val="000000"/>
          <w:sz w:val="14"/>
          <w:szCs w:val="14"/>
          <w:lang w:eastAsia="ja-JP"/>
        </w:rPr>
        <w:t>.</w:t>
      </w:r>
    </w:p>
    <w:p w14:paraId="3D3DD7DE" w14:textId="77777777" w:rsidR="0044035E" w:rsidRPr="00F77A8E" w:rsidRDefault="0044035E" w:rsidP="0044035E">
      <w:pPr>
        <w:spacing w:line="276" w:lineRule="auto"/>
        <w:ind w:right="-113"/>
        <w:rPr>
          <w:rFonts w:asciiTheme="minorHAnsi" w:eastAsia="MS Mincho" w:hAnsiTheme="minorHAnsi" w:cstheme="minorHAnsi"/>
          <w:bCs/>
          <w:color w:val="000000"/>
          <w:sz w:val="14"/>
          <w:szCs w:val="14"/>
          <w:lang w:eastAsia="ja-JP"/>
        </w:rPr>
      </w:pPr>
      <w:r w:rsidRPr="002C073C">
        <w:rPr>
          <w:rFonts w:asciiTheme="minorHAnsi" w:eastAsia="MS Mincho" w:hAnsiTheme="minorHAnsi" w:cstheme="minorHAnsi"/>
          <w:bCs/>
          <w:color w:val="000000"/>
          <w:sz w:val="14"/>
          <w:szCs w:val="14"/>
          <w:vertAlign w:val="superscript"/>
          <w:lang w:eastAsia="ja-JP"/>
        </w:rPr>
        <w:t>(3)</w:t>
      </w:r>
      <w:r w:rsidRPr="00D27EF3">
        <w:rPr>
          <w:rFonts w:asciiTheme="minorHAnsi" w:eastAsia="MS Mincho" w:hAnsiTheme="minorHAnsi" w:cstheme="minorHAnsi"/>
          <w:bCs/>
          <w:color w:val="000000"/>
          <w:sz w:val="14"/>
          <w:szCs w:val="14"/>
          <w:lang w:eastAsia="ja-JP"/>
        </w:rPr>
        <w:t xml:space="preserve"> Including ENOVIA Life Sciences Com</w:t>
      </w:r>
      <w:r>
        <w:rPr>
          <w:rFonts w:asciiTheme="minorHAnsi" w:eastAsia="MS Mincho" w:hAnsiTheme="minorHAnsi" w:cstheme="minorHAnsi"/>
          <w:bCs/>
          <w:color w:val="000000"/>
          <w:sz w:val="14"/>
          <w:szCs w:val="14"/>
          <w:lang w:eastAsia="ja-JP"/>
        </w:rPr>
        <w:t xml:space="preserve">pliance and Quality Management </w:t>
      </w:r>
      <w:r w:rsidRPr="0031582A">
        <w:rPr>
          <w:rFonts w:asciiTheme="minorHAnsi" w:eastAsia="MS Mincho" w:hAnsiTheme="minorHAnsi" w:cstheme="minorHAnsi"/>
          <w:bCs/>
          <w:color w:val="000000"/>
          <w:sz w:val="14"/>
          <w:szCs w:val="14"/>
          <w:lang w:eastAsia="ja-JP"/>
        </w:rPr>
        <w:t>(YTD 2019: €7.0m)</w:t>
      </w:r>
      <w:r>
        <w:rPr>
          <w:rFonts w:asciiTheme="minorHAnsi" w:eastAsia="MS Mincho" w:hAnsiTheme="minorHAnsi" w:cstheme="minorHAnsi"/>
          <w:bCs/>
          <w:color w:val="000000"/>
          <w:sz w:val="14"/>
          <w:szCs w:val="14"/>
          <w:lang w:eastAsia="ja-JP"/>
        </w:rPr>
        <w:t>.</w:t>
      </w:r>
    </w:p>
    <w:p w14:paraId="088F2DCD" w14:textId="77777777" w:rsidR="0044035E" w:rsidRPr="00D27EF3" w:rsidRDefault="0044035E" w:rsidP="0044035E">
      <w:pPr>
        <w:autoSpaceDE w:val="0"/>
        <w:autoSpaceDN w:val="0"/>
        <w:adjustRightInd w:val="0"/>
        <w:ind w:right="-113"/>
        <w:jc w:val="both"/>
        <w:rPr>
          <w:rFonts w:asciiTheme="minorHAnsi" w:hAnsiTheme="minorHAnsi" w:cstheme="minorHAnsi"/>
          <w:color w:val="000000"/>
          <w:sz w:val="14"/>
          <w:szCs w:val="14"/>
        </w:rPr>
      </w:pPr>
      <w:r w:rsidRPr="002C073C">
        <w:rPr>
          <w:rFonts w:asciiTheme="minorHAnsi" w:hAnsiTheme="minorHAnsi" w:cstheme="minorHAnsi"/>
          <w:color w:val="000000"/>
          <w:sz w:val="14"/>
          <w:szCs w:val="14"/>
          <w:vertAlign w:val="superscript"/>
        </w:rPr>
        <w:t>(4)</w:t>
      </w:r>
      <w:r w:rsidRPr="00D27EF3">
        <w:rPr>
          <w:rFonts w:asciiTheme="minorHAnsi" w:hAnsiTheme="minorHAnsi" w:cstheme="minorHAnsi"/>
          <w:color w:val="000000"/>
          <w:sz w:val="14"/>
          <w:szCs w:val="14"/>
        </w:rPr>
        <w:t xml:space="preserve"> The non-IFRS percentage increase (decrease) compares non-IFRS measures for the two different periods. In the event there is non-IFRS adjustment to the relevant measure for only one of the periods under comparison, the non-IFRS increase (decrease) compares the non-IFRS measure to the relevant IFRS measure.</w:t>
      </w:r>
    </w:p>
    <w:p w14:paraId="0DB6211D" w14:textId="59DDEDCA" w:rsidR="009E31E9" w:rsidRPr="00E75BA1" w:rsidRDefault="0044035E" w:rsidP="0044035E">
      <w:pPr>
        <w:autoSpaceDE w:val="0"/>
        <w:autoSpaceDN w:val="0"/>
        <w:adjustRightInd w:val="0"/>
        <w:ind w:right="-113"/>
        <w:jc w:val="both"/>
        <w:rPr>
          <w:rFonts w:ascii="Arial" w:hAnsi="Arial" w:cs="Arial"/>
          <w:lang w:eastAsia="zh-CN"/>
        </w:rPr>
      </w:pPr>
      <w:r w:rsidRPr="002C073C">
        <w:rPr>
          <w:rFonts w:asciiTheme="minorHAnsi" w:hAnsiTheme="minorHAnsi" w:cstheme="minorHAnsi"/>
          <w:color w:val="000000"/>
          <w:sz w:val="14"/>
          <w:szCs w:val="14"/>
          <w:vertAlign w:val="superscript"/>
        </w:rPr>
        <w:t>(5)</w:t>
      </w:r>
      <w:r w:rsidRPr="00D27EF3">
        <w:rPr>
          <w:rFonts w:asciiTheme="minorHAnsi" w:hAnsiTheme="minorHAnsi" w:cstheme="minorHAnsi"/>
          <w:color w:val="000000"/>
          <w:sz w:val="14"/>
          <w:szCs w:val="14"/>
        </w:rPr>
        <w:t xml:space="preserve"> Based on a weighted </w:t>
      </w:r>
      <w:r w:rsidRPr="00B64205">
        <w:rPr>
          <w:rFonts w:asciiTheme="minorHAnsi" w:hAnsiTheme="minorHAnsi" w:cstheme="minorHAnsi"/>
          <w:color w:val="000000"/>
          <w:sz w:val="14"/>
          <w:szCs w:val="14"/>
        </w:rPr>
        <w:t>average 262.8 million diluted shares for H1 2020 and</w:t>
      </w:r>
      <w:r w:rsidRPr="00EC5C66">
        <w:rPr>
          <w:rFonts w:asciiTheme="minorHAnsi" w:hAnsiTheme="minorHAnsi" w:cstheme="minorHAnsi"/>
          <w:color w:val="000000"/>
          <w:sz w:val="14"/>
          <w:szCs w:val="14"/>
        </w:rPr>
        <w:t xml:space="preserve"> 260.8 million diluted shares for </w:t>
      </w:r>
      <w:r>
        <w:rPr>
          <w:rFonts w:asciiTheme="minorHAnsi" w:hAnsiTheme="minorHAnsi" w:cstheme="minorHAnsi"/>
          <w:color w:val="000000"/>
          <w:sz w:val="14"/>
          <w:szCs w:val="14"/>
        </w:rPr>
        <w:t>H1</w:t>
      </w:r>
      <w:r w:rsidRPr="00EC5C66">
        <w:rPr>
          <w:rFonts w:asciiTheme="minorHAnsi" w:hAnsiTheme="minorHAnsi" w:cstheme="minorHAnsi"/>
          <w:color w:val="000000"/>
          <w:sz w:val="14"/>
          <w:szCs w:val="14"/>
        </w:rPr>
        <w:t xml:space="preserve"> 2019.</w:t>
      </w:r>
    </w:p>
    <w:sectPr w:rsidR="009E31E9" w:rsidRPr="00E75BA1" w:rsidSect="009A1A89">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CABE9" w14:textId="77777777" w:rsidR="006A1632" w:rsidRDefault="006A1632" w:rsidP="008C0A3E">
      <w:r>
        <w:separator/>
      </w:r>
    </w:p>
  </w:endnote>
  <w:endnote w:type="continuationSeparator" w:id="0">
    <w:p w14:paraId="5444FEFF" w14:textId="77777777" w:rsidR="006A1632" w:rsidRDefault="006A1632" w:rsidP="008C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912663"/>
      <w:docPartObj>
        <w:docPartGallery w:val="Page Numbers (Bottom of Page)"/>
        <w:docPartUnique/>
      </w:docPartObj>
    </w:sdtPr>
    <w:sdtEndPr/>
    <w:sdtContent>
      <w:p w14:paraId="552210A1" w14:textId="0E828A0D" w:rsidR="006A1632" w:rsidRDefault="006A1632">
        <w:pPr>
          <w:pStyle w:val="Footer"/>
          <w:jc w:val="center"/>
        </w:pPr>
        <w:r>
          <w:fldChar w:fldCharType="begin"/>
        </w:r>
        <w:r>
          <w:instrText>PAGE   \* MERGEFORMAT</w:instrText>
        </w:r>
        <w:r>
          <w:fldChar w:fldCharType="separate"/>
        </w:r>
        <w:r w:rsidR="00131FE7" w:rsidRPr="00131FE7">
          <w:rPr>
            <w:noProof/>
            <w:lang w:val="fr-FR"/>
          </w:rPr>
          <w:t>19</w:t>
        </w:r>
        <w:r>
          <w:fldChar w:fldCharType="end"/>
        </w:r>
      </w:p>
    </w:sdtContent>
  </w:sdt>
  <w:p w14:paraId="3A54753A" w14:textId="77777777" w:rsidR="006A1632" w:rsidRDefault="006A1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74067"/>
      <w:docPartObj>
        <w:docPartGallery w:val="Page Numbers (Bottom of Page)"/>
        <w:docPartUnique/>
      </w:docPartObj>
    </w:sdtPr>
    <w:sdtEndPr>
      <w:rPr>
        <w:noProof/>
      </w:rPr>
    </w:sdtEndPr>
    <w:sdtContent>
      <w:p w14:paraId="11A2A914" w14:textId="3333468C" w:rsidR="006A1632" w:rsidRDefault="006A1632">
        <w:pPr>
          <w:pStyle w:val="Footer"/>
          <w:jc w:val="center"/>
        </w:pPr>
        <w:r>
          <w:fldChar w:fldCharType="begin"/>
        </w:r>
        <w:r>
          <w:instrText xml:space="preserve"> PAGE   \* MERGEFORMAT </w:instrText>
        </w:r>
        <w:r>
          <w:fldChar w:fldCharType="separate"/>
        </w:r>
        <w:r w:rsidR="00131FE7">
          <w:rPr>
            <w:noProof/>
          </w:rPr>
          <w:t>1</w:t>
        </w:r>
        <w:r>
          <w:rPr>
            <w:noProof/>
          </w:rPr>
          <w:fldChar w:fldCharType="end"/>
        </w:r>
      </w:p>
    </w:sdtContent>
  </w:sdt>
  <w:p w14:paraId="283D30C5" w14:textId="77777777" w:rsidR="006A1632" w:rsidRDefault="006A1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D4494" w14:textId="77777777" w:rsidR="006A1632" w:rsidRDefault="006A1632" w:rsidP="008C0A3E">
      <w:r>
        <w:separator/>
      </w:r>
    </w:p>
  </w:footnote>
  <w:footnote w:type="continuationSeparator" w:id="0">
    <w:p w14:paraId="35FE9ED8" w14:textId="77777777" w:rsidR="006A1632" w:rsidRDefault="006A1632" w:rsidP="008C0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09020" w14:textId="049EE7B6" w:rsidR="006A1632" w:rsidRDefault="006A1632">
    <w:pPr>
      <w:pStyle w:val="Header"/>
    </w:pPr>
    <w:r w:rsidRPr="00F06FC4">
      <w:rPr>
        <w:noProof/>
        <w:lang w:val="fr-FR" w:eastAsia="fr-FR"/>
      </w:rPr>
      <w:drawing>
        <wp:inline distT="0" distB="0" distL="0" distR="0" wp14:anchorId="51E9C2A7" wp14:editId="0FDD6D64">
          <wp:extent cx="1451073" cy="456052"/>
          <wp:effectExtent l="0" t="0" r="0" b="1270"/>
          <wp:docPr id="1" name="Picture 1" descr="C:\Users\hnx\AppData\Local\Temp\7zO0B8728AD\3DS_Corp_Logotype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nx\AppData\Local\Temp\7zO0B8728AD\3DS_Corp_Logotype_Blu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29" cy="4795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8pt;height:48pt" o:bullet="t">
        <v:imagedata r:id="rId1" o:title="art7E8A"/>
      </v:shape>
    </w:pict>
  </w:numPicBullet>
  <w:abstractNum w:abstractNumId="0" w15:restartNumberingAfterBreak="0">
    <w:nsid w:val="00CC312E"/>
    <w:multiLevelType w:val="hybridMultilevel"/>
    <w:tmpl w:val="499C5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57BD9"/>
    <w:multiLevelType w:val="hybridMultilevel"/>
    <w:tmpl w:val="F086E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87D41"/>
    <w:multiLevelType w:val="hybridMultilevel"/>
    <w:tmpl w:val="0460449A"/>
    <w:lvl w:ilvl="0" w:tplc="242295CE">
      <w:start w:val="1"/>
      <w:numFmt w:val="bullet"/>
      <w:lvlText w:val="•"/>
      <w:lvlJc w:val="left"/>
      <w:pPr>
        <w:tabs>
          <w:tab w:val="num" w:pos="720"/>
        </w:tabs>
        <w:ind w:left="720" w:hanging="360"/>
      </w:pPr>
      <w:rPr>
        <w:rFonts w:ascii="Arial" w:hAnsi="Arial" w:hint="default"/>
      </w:rPr>
    </w:lvl>
    <w:lvl w:ilvl="1" w:tplc="7E74C8D2" w:tentative="1">
      <w:start w:val="1"/>
      <w:numFmt w:val="bullet"/>
      <w:lvlText w:val="•"/>
      <w:lvlJc w:val="left"/>
      <w:pPr>
        <w:tabs>
          <w:tab w:val="num" w:pos="1440"/>
        </w:tabs>
        <w:ind w:left="1440" w:hanging="360"/>
      </w:pPr>
      <w:rPr>
        <w:rFonts w:ascii="Arial" w:hAnsi="Arial" w:hint="default"/>
      </w:rPr>
    </w:lvl>
    <w:lvl w:ilvl="2" w:tplc="A5286D94">
      <w:start w:val="1"/>
      <w:numFmt w:val="bullet"/>
      <w:lvlText w:val="•"/>
      <w:lvlJc w:val="left"/>
      <w:pPr>
        <w:tabs>
          <w:tab w:val="num" w:pos="2160"/>
        </w:tabs>
        <w:ind w:left="2160" w:hanging="360"/>
      </w:pPr>
      <w:rPr>
        <w:rFonts w:ascii="Arial" w:hAnsi="Arial" w:hint="default"/>
      </w:rPr>
    </w:lvl>
    <w:lvl w:ilvl="3" w:tplc="3724BB76" w:tentative="1">
      <w:start w:val="1"/>
      <w:numFmt w:val="bullet"/>
      <w:lvlText w:val="•"/>
      <w:lvlJc w:val="left"/>
      <w:pPr>
        <w:tabs>
          <w:tab w:val="num" w:pos="2880"/>
        </w:tabs>
        <w:ind w:left="2880" w:hanging="360"/>
      </w:pPr>
      <w:rPr>
        <w:rFonts w:ascii="Arial" w:hAnsi="Arial" w:hint="default"/>
      </w:rPr>
    </w:lvl>
    <w:lvl w:ilvl="4" w:tplc="4CCCB64C" w:tentative="1">
      <w:start w:val="1"/>
      <w:numFmt w:val="bullet"/>
      <w:lvlText w:val="•"/>
      <w:lvlJc w:val="left"/>
      <w:pPr>
        <w:tabs>
          <w:tab w:val="num" w:pos="3600"/>
        </w:tabs>
        <w:ind w:left="3600" w:hanging="360"/>
      </w:pPr>
      <w:rPr>
        <w:rFonts w:ascii="Arial" w:hAnsi="Arial" w:hint="default"/>
      </w:rPr>
    </w:lvl>
    <w:lvl w:ilvl="5" w:tplc="1958B546" w:tentative="1">
      <w:start w:val="1"/>
      <w:numFmt w:val="bullet"/>
      <w:lvlText w:val="•"/>
      <w:lvlJc w:val="left"/>
      <w:pPr>
        <w:tabs>
          <w:tab w:val="num" w:pos="4320"/>
        </w:tabs>
        <w:ind w:left="4320" w:hanging="360"/>
      </w:pPr>
      <w:rPr>
        <w:rFonts w:ascii="Arial" w:hAnsi="Arial" w:hint="default"/>
      </w:rPr>
    </w:lvl>
    <w:lvl w:ilvl="6" w:tplc="C450C934" w:tentative="1">
      <w:start w:val="1"/>
      <w:numFmt w:val="bullet"/>
      <w:lvlText w:val="•"/>
      <w:lvlJc w:val="left"/>
      <w:pPr>
        <w:tabs>
          <w:tab w:val="num" w:pos="5040"/>
        </w:tabs>
        <w:ind w:left="5040" w:hanging="360"/>
      </w:pPr>
      <w:rPr>
        <w:rFonts w:ascii="Arial" w:hAnsi="Arial" w:hint="default"/>
      </w:rPr>
    </w:lvl>
    <w:lvl w:ilvl="7" w:tplc="42D8BCE2" w:tentative="1">
      <w:start w:val="1"/>
      <w:numFmt w:val="bullet"/>
      <w:lvlText w:val="•"/>
      <w:lvlJc w:val="left"/>
      <w:pPr>
        <w:tabs>
          <w:tab w:val="num" w:pos="5760"/>
        </w:tabs>
        <w:ind w:left="5760" w:hanging="360"/>
      </w:pPr>
      <w:rPr>
        <w:rFonts w:ascii="Arial" w:hAnsi="Arial" w:hint="default"/>
      </w:rPr>
    </w:lvl>
    <w:lvl w:ilvl="8" w:tplc="9D124B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A055F2"/>
    <w:multiLevelType w:val="hybridMultilevel"/>
    <w:tmpl w:val="EFB0C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310AA1"/>
    <w:multiLevelType w:val="hybridMultilevel"/>
    <w:tmpl w:val="C554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F3BBF"/>
    <w:multiLevelType w:val="hybridMultilevel"/>
    <w:tmpl w:val="A656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820E98"/>
    <w:multiLevelType w:val="hybridMultilevel"/>
    <w:tmpl w:val="160A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F08B0"/>
    <w:multiLevelType w:val="hybridMultilevel"/>
    <w:tmpl w:val="3C74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04F0D"/>
    <w:multiLevelType w:val="hybridMultilevel"/>
    <w:tmpl w:val="301C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567C77"/>
    <w:multiLevelType w:val="hybridMultilevel"/>
    <w:tmpl w:val="8624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DE6E36"/>
    <w:multiLevelType w:val="hybridMultilevel"/>
    <w:tmpl w:val="7562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75176"/>
    <w:multiLevelType w:val="hybridMultilevel"/>
    <w:tmpl w:val="2268352E"/>
    <w:lvl w:ilvl="0" w:tplc="279264D2">
      <w:start w:val="1"/>
      <w:numFmt w:val="bullet"/>
      <w:lvlText w:val="-"/>
      <w:lvlJc w:val="left"/>
      <w:pPr>
        <w:ind w:left="405" w:hanging="360"/>
      </w:pPr>
      <w:rPr>
        <w:rFonts w:ascii="Times New Roman" w:eastAsia="MS Mincho"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129D3FC9"/>
    <w:multiLevelType w:val="hybridMultilevel"/>
    <w:tmpl w:val="2BBE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C948DB"/>
    <w:multiLevelType w:val="hybridMultilevel"/>
    <w:tmpl w:val="5574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57635C"/>
    <w:multiLevelType w:val="hybridMultilevel"/>
    <w:tmpl w:val="639CE2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E03FBA"/>
    <w:multiLevelType w:val="hybridMultilevel"/>
    <w:tmpl w:val="FAFA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0A25E1"/>
    <w:multiLevelType w:val="hybridMultilevel"/>
    <w:tmpl w:val="8B9AF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EB24B1A"/>
    <w:multiLevelType w:val="hybridMultilevel"/>
    <w:tmpl w:val="3B583096"/>
    <w:lvl w:ilvl="0" w:tplc="7876EC5C">
      <w:start w:val="1"/>
      <w:numFmt w:val="decimal"/>
      <w:lvlText w:val="%1."/>
      <w:lvlJc w:val="left"/>
      <w:pPr>
        <w:tabs>
          <w:tab w:val="num" w:pos="1494"/>
        </w:tabs>
        <w:ind w:left="1494" w:hanging="360"/>
      </w:pPr>
      <w:rPr>
        <w:rFonts w:cs="Times New Roman" w:hint="default"/>
        <w:b/>
        <w:lang w:val="en-IE"/>
      </w:rPr>
    </w:lvl>
    <w:lvl w:ilvl="1" w:tplc="08090019">
      <w:start w:val="1"/>
      <w:numFmt w:val="lowerLetter"/>
      <w:lvlText w:val="%2."/>
      <w:lvlJc w:val="left"/>
      <w:pPr>
        <w:tabs>
          <w:tab w:val="num" w:pos="1222"/>
        </w:tabs>
        <w:ind w:left="1222" w:hanging="360"/>
      </w:pPr>
      <w:rPr>
        <w:rFonts w:cs="Times New Roman"/>
      </w:rPr>
    </w:lvl>
    <w:lvl w:ilvl="2" w:tplc="0809001B">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18" w15:restartNumberingAfterBreak="0">
    <w:nsid w:val="1EBC549A"/>
    <w:multiLevelType w:val="hybridMultilevel"/>
    <w:tmpl w:val="C34E42AC"/>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1F541E56"/>
    <w:multiLevelType w:val="hybridMultilevel"/>
    <w:tmpl w:val="1564E22A"/>
    <w:lvl w:ilvl="0" w:tplc="A330F3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C5F6E77"/>
    <w:multiLevelType w:val="hybridMultilevel"/>
    <w:tmpl w:val="C524825E"/>
    <w:lvl w:ilvl="0" w:tplc="2372193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032571"/>
    <w:multiLevelType w:val="hybridMultilevel"/>
    <w:tmpl w:val="41D8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812A23"/>
    <w:multiLevelType w:val="hybridMultilevel"/>
    <w:tmpl w:val="67F8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904562"/>
    <w:multiLevelType w:val="hybridMultilevel"/>
    <w:tmpl w:val="0900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6717BC"/>
    <w:multiLevelType w:val="hybridMultilevel"/>
    <w:tmpl w:val="641847FA"/>
    <w:lvl w:ilvl="0" w:tplc="BB2E6AF0">
      <w:start w:val="1"/>
      <w:numFmt w:val="bullet"/>
      <w:lvlText w:val=""/>
      <w:lvlPicBulletId w:val="0"/>
      <w:lvlJc w:val="left"/>
      <w:pPr>
        <w:tabs>
          <w:tab w:val="num" w:pos="720"/>
        </w:tabs>
        <w:ind w:left="720" w:hanging="360"/>
      </w:pPr>
      <w:rPr>
        <w:rFonts w:ascii="Symbol" w:hAnsi="Symbol" w:hint="default"/>
      </w:rPr>
    </w:lvl>
    <w:lvl w:ilvl="1" w:tplc="F8E03672">
      <w:start w:val="1"/>
      <w:numFmt w:val="bullet"/>
      <w:lvlText w:val=""/>
      <w:lvlPicBulletId w:val="0"/>
      <w:lvlJc w:val="left"/>
      <w:pPr>
        <w:tabs>
          <w:tab w:val="num" w:pos="1440"/>
        </w:tabs>
        <w:ind w:left="1440" w:hanging="360"/>
      </w:pPr>
      <w:rPr>
        <w:rFonts w:ascii="Symbol" w:hAnsi="Symbol" w:hint="default"/>
      </w:rPr>
    </w:lvl>
    <w:lvl w:ilvl="2" w:tplc="2D243278">
      <w:start w:val="1"/>
      <w:numFmt w:val="bullet"/>
      <w:lvlText w:val=""/>
      <w:lvlPicBulletId w:val="0"/>
      <w:lvlJc w:val="left"/>
      <w:pPr>
        <w:tabs>
          <w:tab w:val="num" w:pos="2160"/>
        </w:tabs>
        <w:ind w:left="2160" w:hanging="360"/>
      </w:pPr>
      <w:rPr>
        <w:rFonts w:ascii="Symbol" w:hAnsi="Symbol" w:hint="default"/>
      </w:rPr>
    </w:lvl>
    <w:lvl w:ilvl="3" w:tplc="A81CC91E">
      <w:start w:val="1"/>
      <w:numFmt w:val="bullet"/>
      <w:lvlText w:val=""/>
      <w:lvlPicBulletId w:val="0"/>
      <w:lvlJc w:val="left"/>
      <w:pPr>
        <w:tabs>
          <w:tab w:val="num" w:pos="2880"/>
        </w:tabs>
        <w:ind w:left="2880" w:hanging="360"/>
      </w:pPr>
      <w:rPr>
        <w:rFonts w:ascii="Symbol" w:hAnsi="Symbol" w:hint="default"/>
      </w:rPr>
    </w:lvl>
    <w:lvl w:ilvl="4" w:tplc="25B6171C">
      <w:start w:val="1"/>
      <w:numFmt w:val="bullet"/>
      <w:lvlText w:val=""/>
      <w:lvlPicBulletId w:val="0"/>
      <w:lvlJc w:val="left"/>
      <w:pPr>
        <w:tabs>
          <w:tab w:val="num" w:pos="3600"/>
        </w:tabs>
        <w:ind w:left="3600" w:hanging="360"/>
      </w:pPr>
      <w:rPr>
        <w:rFonts w:ascii="Symbol" w:hAnsi="Symbol" w:hint="default"/>
      </w:rPr>
    </w:lvl>
    <w:lvl w:ilvl="5" w:tplc="06401D70">
      <w:start w:val="1"/>
      <w:numFmt w:val="bullet"/>
      <w:lvlText w:val=""/>
      <w:lvlPicBulletId w:val="0"/>
      <w:lvlJc w:val="left"/>
      <w:pPr>
        <w:tabs>
          <w:tab w:val="num" w:pos="4320"/>
        </w:tabs>
        <w:ind w:left="4320" w:hanging="360"/>
      </w:pPr>
      <w:rPr>
        <w:rFonts w:ascii="Symbol" w:hAnsi="Symbol" w:hint="default"/>
      </w:rPr>
    </w:lvl>
    <w:lvl w:ilvl="6" w:tplc="92647490">
      <w:start w:val="1"/>
      <w:numFmt w:val="bullet"/>
      <w:lvlText w:val=""/>
      <w:lvlPicBulletId w:val="0"/>
      <w:lvlJc w:val="left"/>
      <w:pPr>
        <w:tabs>
          <w:tab w:val="num" w:pos="5040"/>
        </w:tabs>
        <w:ind w:left="5040" w:hanging="360"/>
      </w:pPr>
      <w:rPr>
        <w:rFonts w:ascii="Symbol" w:hAnsi="Symbol" w:hint="default"/>
      </w:rPr>
    </w:lvl>
    <w:lvl w:ilvl="7" w:tplc="4F689DEA">
      <w:start w:val="1"/>
      <w:numFmt w:val="bullet"/>
      <w:lvlText w:val=""/>
      <w:lvlPicBulletId w:val="0"/>
      <w:lvlJc w:val="left"/>
      <w:pPr>
        <w:tabs>
          <w:tab w:val="num" w:pos="5760"/>
        </w:tabs>
        <w:ind w:left="5760" w:hanging="360"/>
      </w:pPr>
      <w:rPr>
        <w:rFonts w:ascii="Symbol" w:hAnsi="Symbol" w:hint="default"/>
      </w:rPr>
    </w:lvl>
    <w:lvl w:ilvl="8" w:tplc="C79E9000">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39BC1799"/>
    <w:multiLevelType w:val="hybridMultilevel"/>
    <w:tmpl w:val="EACC328C"/>
    <w:lvl w:ilvl="0" w:tplc="A330F36A">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3A2B4F18"/>
    <w:multiLevelType w:val="hybridMultilevel"/>
    <w:tmpl w:val="1D68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E206D8"/>
    <w:multiLevelType w:val="hybridMultilevel"/>
    <w:tmpl w:val="12244D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B05585"/>
    <w:multiLevelType w:val="hybridMultilevel"/>
    <w:tmpl w:val="CC36AA24"/>
    <w:lvl w:ilvl="0" w:tplc="04090003">
      <w:start w:val="1"/>
      <w:numFmt w:val="bullet"/>
      <w:lvlText w:val="o"/>
      <w:lvlJc w:val="left"/>
      <w:pPr>
        <w:ind w:left="720" w:hanging="360"/>
      </w:pPr>
      <w:rPr>
        <w:rFonts w:ascii="Courier New" w:hAnsi="Courier New" w:cs="Courier New" w:hint="default"/>
        <w:lang w:val="en-I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546D07C">
      <w:numFmt w:val="bullet"/>
      <w:lvlText w:val="-"/>
      <w:lvlJc w:val="left"/>
      <w:pPr>
        <w:ind w:left="2880" w:hanging="360"/>
      </w:pPr>
      <w:rPr>
        <w:rFonts w:ascii="Arial" w:eastAsia="MS Mincho"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6B1784"/>
    <w:multiLevelType w:val="hybridMultilevel"/>
    <w:tmpl w:val="9A9CE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4716525"/>
    <w:multiLevelType w:val="hybridMultilevel"/>
    <w:tmpl w:val="0C50D74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47106E24"/>
    <w:multiLevelType w:val="hybridMultilevel"/>
    <w:tmpl w:val="5F107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D779F7"/>
    <w:multiLevelType w:val="hybridMultilevel"/>
    <w:tmpl w:val="B1941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B93CB0"/>
    <w:multiLevelType w:val="hybridMultilevel"/>
    <w:tmpl w:val="F72A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F958AD"/>
    <w:multiLevelType w:val="hybridMultilevel"/>
    <w:tmpl w:val="37EA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093561"/>
    <w:multiLevelType w:val="hybridMultilevel"/>
    <w:tmpl w:val="EC42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505EB6"/>
    <w:multiLevelType w:val="hybridMultilevel"/>
    <w:tmpl w:val="040C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B27DBF"/>
    <w:multiLevelType w:val="hybridMultilevel"/>
    <w:tmpl w:val="56186B84"/>
    <w:lvl w:ilvl="0" w:tplc="E4006118">
      <w:start w:val="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5B7427"/>
    <w:multiLevelType w:val="hybridMultilevel"/>
    <w:tmpl w:val="D4F447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8B60658"/>
    <w:multiLevelType w:val="hybridMultilevel"/>
    <w:tmpl w:val="1766E4A0"/>
    <w:lvl w:ilvl="0" w:tplc="04090001">
      <w:start w:val="1"/>
      <w:numFmt w:val="bullet"/>
      <w:lvlText w:val=""/>
      <w:lvlJc w:val="left"/>
      <w:pPr>
        <w:ind w:left="5475" w:hanging="360"/>
      </w:pPr>
      <w:rPr>
        <w:rFonts w:ascii="Symbol" w:hAnsi="Symbol" w:hint="default"/>
      </w:rPr>
    </w:lvl>
    <w:lvl w:ilvl="1" w:tplc="04090003" w:tentative="1">
      <w:start w:val="1"/>
      <w:numFmt w:val="bullet"/>
      <w:lvlText w:val="o"/>
      <w:lvlJc w:val="left"/>
      <w:pPr>
        <w:ind w:left="6195" w:hanging="360"/>
      </w:pPr>
      <w:rPr>
        <w:rFonts w:ascii="Courier New" w:hAnsi="Courier New" w:cs="Courier New" w:hint="default"/>
      </w:rPr>
    </w:lvl>
    <w:lvl w:ilvl="2" w:tplc="04090005" w:tentative="1">
      <w:start w:val="1"/>
      <w:numFmt w:val="bullet"/>
      <w:lvlText w:val=""/>
      <w:lvlJc w:val="left"/>
      <w:pPr>
        <w:ind w:left="6915" w:hanging="360"/>
      </w:pPr>
      <w:rPr>
        <w:rFonts w:ascii="Wingdings" w:hAnsi="Wingdings" w:hint="default"/>
      </w:rPr>
    </w:lvl>
    <w:lvl w:ilvl="3" w:tplc="04090001" w:tentative="1">
      <w:start w:val="1"/>
      <w:numFmt w:val="bullet"/>
      <w:lvlText w:val=""/>
      <w:lvlJc w:val="left"/>
      <w:pPr>
        <w:ind w:left="7635" w:hanging="360"/>
      </w:pPr>
      <w:rPr>
        <w:rFonts w:ascii="Symbol" w:hAnsi="Symbol" w:hint="default"/>
      </w:rPr>
    </w:lvl>
    <w:lvl w:ilvl="4" w:tplc="04090003" w:tentative="1">
      <w:start w:val="1"/>
      <w:numFmt w:val="bullet"/>
      <w:lvlText w:val="o"/>
      <w:lvlJc w:val="left"/>
      <w:pPr>
        <w:ind w:left="8355" w:hanging="360"/>
      </w:pPr>
      <w:rPr>
        <w:rFonts w:ascii="Courier New" w:hAnsi="Courier New" w:cs="Courier New" w:hint="default"/>
      </w:rPr>
    </w:lvl>
    <w:lvl w:ilvl="5" w:tplc="04090005" w:tentative="1">
      <w:start w:val="1"/>
      <w:numFmt w:val="bullet"/>
      <w:lvlText w:val=""/>
      <w:lvlJc w:val="left"/>
      <w:pPr>
        <w:ind w:left="9075" w:hanging="360"/>
      </w:pPr>
      <w:rPr>
        <w:rFonts w:ascii="Wingdings" w:hAnsi="Wingdings" w:hint="default"/>
      </w:rPr>
    </w:lvl>
    <w:lvl w:ilvl="6" w:tplc="04090001" w:tentative="1">
      <w:start w:val="1"/>
      <w:numFmt w:val="bullet"/>
      <w:lvlText w:val=""/>
      <w:lvlJc w:val="left"/>
      <w:pPr>
        <w:ind w:left="9795" w:hanging="360"/>
      </w:pPr>
      <w:rPr>
        <w:rFonts w:ascii="Symbol" w:hAnsi="Symbol" w:hint="default"/>
      </w:rPr>
    </w:lvl>
    <w:lvl w:ilvl="7" w:tplc="04090003" w:tentative="1">
      <w:start w:val="1"/>
      <w:numFmt w:val="bullet"/>
      <w:lvlText w:val="o"/>
      <w:lvlJc w:val="left"/>
      <w:pPr>
        <w:ind w:left="10515" w:hanging="360"/>
      </w:pPr>
      <w:rPr>
        <w:rFonts w:ascii="Courier New" w:hAnsi="Courier New" w:cs="Courier New" w:hint="default"/>
      </w:rPr>
    </w:lvl>
    <w:lvl w:ilvl="8" w:tplc="04090005" w:tentative="1">
      <w:start w:val="1"/>
      <w:numFmt w:val="bullet"/>
      <w:lvlText w:val=""/>
      <w:lvlJc w:val="left"/>
      <w:pPr>
        <w:ind w:left="11235" w:hanging="360"/>
      </w:pPr>
      <w:rPr>
        <w:rFonts w:ascii="Wingdings" w:hAnsi="Wingdings" w:hint="default"/>
      </w:rPr>
    </w:lvl>
  </w:abstractNum>
  <w:abstractNum w:abstractNumId="40" w15:restartNumberingAfterBreak="0">
    <w:nsid w:val="5A64097E"/>
    <w:multiLevelType w:val="hybridMultilevel"/>
    <w:tmpl w:val="8318C9C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1" w15:restartNumberingAfterBreak="0">
    <w:nsid w:val="5E453A92"/>
    <w:multiLevelType w:val="hybridMultilevel"/>
    <w:tmpl w:val="50D21A6C"/>
    <w:lvl w:ilvl="0" w:tplc="6890D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2344EB"/>
    <w:multiLevelType w:val="hybridMultilevel"/>
    <w:tmpl w:val="1160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F7704B"/>
    <w:multiLevelType w:val="hybridMultilevel"/>
    <w:tmpl w:val="96B88E30"/>
    <w:lvl w:ilvl="0" w:tplc="D4EC0A8A">
      <w:numFmt w:val="bullet"/>
      <w:lvlText w:val="-"/>
      <w:lvlJc w:val="left"/>
      <w:pPr>
        <w:ind w:left="720" w:hanging="360"/>
      </w:pPr>
      <w:rPr>
        <w:rFonts w:ascii="Calibri" w:eastAsia="Times New Roman" w:hAnsi="Calibri" w:cs="Calibri"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694B3167"/>
    <w:multiLevelType w:val="hybridMultilevel"/>
    <w:tmpl w:val="15220CB4"/>
    <w:lvl w:ilvl="0" w:tplc="5F5232D8">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9125AE"/>
    <w:multiLevelType w:val="hybridMultilevel"/>
    <w:tmpl w:val="5688FE06"/>
    <w:lvl w:ilvl="0" w:tplc="EFA41CE2">
      <w:start w:val="1"/>
      <w:numFmt w:val="bullet"/>
      <w:lvlText w:val="•"/>
      <w:lvlJc w:val="left"/>
      <w:pPr>
        <w:tabs>
          <w:tab w:val="num" w:pos="720"/>
        </w:tabs>
        <w:ind w:left="720" w:hanging="360"/>
      </w:pPr>
      <w:rPr>
        <w:rFonts w:ascii="Arial" w:hAnsi="Arial" w:hint="default"/>
      </w:rPr>
    </w:lvl>
    <w:lvl w:ilvl="1" w:tplc="624EE150" w:tentative="1">
      <w:start w:val="1"/>
      <w:numFmt w:val="bullet"/>
      <w:lvlText w:val="•"/>
      <w:lvlJc w:val="left"/>
      <w:pPr>
        <w:tabs>
          <w:tab w:val="num" w:pos="1440"/>
        </w:tabs>
        <w:ind w:left="1440" w:hanging="360"/>
      </w:pPr>
      <w:rPr>
        <w:rFonts w:ascii="Arial" w:hAnsi="Arial" w:hint="default"/>
      </w:rPr>
    </w:lvl>
    <w:lvl w:ilvl="2" w:tplc="3A1EFF2C">
      <w:start w:val="1"/>
      <w:numFmt w:val="bullet"/>
      <w:lvlText w:val="•"/>
      <w:lvlJc w:val="left"/>
      <w:pPr>
        <w:tabs>
          <w:tab w:val="num" w:pos="2160"/>
        </w:tabs>
        <w:ind w:left="2160" w:hanging="360"/>
      </w:pPr>
      <w:rPr>
        <w:rFonts w:ascii="Arial" w:hAnsi="Arial" w:hint="default"/>
      </w:rPr>
    </w:lvl>
    <w:lvl w:ilvl="3" w:tplc="D6F29164" w:tentative="1">
      <w:start w:val="1"/>
      <w:numFmt w:val="bullet"/>
      <w:lvlText w:val="•"/>
      <w:lvlJc w:val="left"/>
      <w:pPr>
        <w:tabs>
          <w:tab w:val="num" w:pos="2880"/>
        </w:tabs>
        <w:ind w:left="2880" w:hanging="360"/>
      </w:pPr>
      <w:rPr>
        <w:rFonts w:ascii="Arial" w:hAnsi="Arial" w:hint="default"/>
      </w:rPr>
    </w:lvl>
    <w:lvl w:ilvl="4" w:tplc="4EB049EE" w:tentative="1">
      <w:start w:val="1"/>
      <w:numFmt w:val="bullet"/>
      <w:lvlText w:val="•"/>
      <w:lvlJc w:val="left"/>
      <w:pPr>
        <w:tabs>
          <w:tab w:val="num" w:pos="3600"/>
        </w:tabs>
        <w:ind w:left="3600" w:hanging="360"/>
      </w:pPr>
      <w:rPr>
        <w:rFonts w:ascii="Arial" w:hAnsi="Arial" w:hint="default"/>
      </w:rPr>
    </w:lvl>
    <w:lvl w:ilvl="5" w:tplc="93B2A4EC" w:tentative="1">
      <w:start w:val="1"/>
      <w:numFmt w:val="bullet"/>
      <w:lvlText w:val="•"/>
      <w:lvlJc w:val="left"/>
      <w:pPr>
        <w:tabs>
          <w:tab w:val="num" w:pos="4320"/>
        </w:tabs>
        <w:ind w:left="4320" w:hanging="360"/>
      </w:pPr>
      <w:rPr>
        <w:rFonts w:ascii="Arial" w:hAnsi="Arial" w:hint="default"/>
      </w:rPr>
    </w:lvl>
    <w:lvl w:ilvl="6" w:tplc="8C529A56" w:tentative="1">
      <w:start w:val="1"/>
      <w:numFmt w:val="bullet"/>
      <w:lvlText w:val="•"/>
      <w:lvlJc w:val="left"/>
      <w:pPr>
        <w:tabs>
          <w:tab w:val="num" w:pos="5040"/>
        </w:tabs>
        <w:ind w:left="5040" w:hanging="360"/>
      </w:pPr>
      <w:rPr>
        <w:rFonts w:ascii="Arial" w:hAnsi="Arial" w:hint="default"/>
      </w:rPr>
    </w:lvl>
    <w:lvl w:ilvl="7" w:tplc="54B41016" w:tentative="1">
      <w:start w:val="1"/>
      <w:numFmt w:val="bullet"/>
      <w:lvlText w:val="•"/>
      <w:lvlJc w:val="left"/>
      <w:pPr>
        <w:tabs>
          <w:tab w:val="num" w:pos="5760"/>
        </w:tabs>
        <w:ind w:left="5760" w:hanging="360"/>
      </w:pPr>
      <w:rPr>
        <w:rFonts w:ascii="Arial" w:hAnsi="Arial" w:hint="default"/>
      </w:rPr>
    </w:lvl>
    <w:lvl w:ilvl="8" w:tplc="868E69E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CD21564"/>
    <w:multiLevelType w:val="hybridMultilevel"/>
    <w:tmpl w:val="A02079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6DCB4AE7"/>
    <w:multiLevelType w:val="hybridMultilevel"/>
    <w:tmpl w:val="ADBC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7B44C7"/>
    <w:multiLevelType w:val="hybridMultilevel"/>
    <w:tmpl w:val="ABFEB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AC5861"/>
    <w:multiLevelType w:val="hybridMultilevel"/>
    <w:tmpl w:val="700A9640"/>
    <w:lvl w:ilvl="0" w:tplc="A5ECE638">
      <w:start w:val="1"/>
      <w:numFmt w:val="bullet"/>
      <w:lvlText w:val="•"/>
      <w:lvlJc w:val="left"/>
      <w:pPr>
        <w:tabs>
          <w:tab w:val="num" w:pos="720"/>
        </w:tabs>
        <w:ind w:left="720" w:hanging="360"/>
      </w:pPr>
      <w:rPr>
        <w:rFonts w:ascii="Arial" w:hAnsi="Arial" w:hint="default"/>
      </w:rPr>
    </w:lvl>
    <w:lvl w:ilvl="1" w:tplc="85267BB4">
      <w:start w:val="1"/>
      <w:numFmt w:val="bullet"/>
      <w:lvlText w:val="•"/>
      <w:lvlJc w:val="left"/>
      <w:pPr>
        <w:tabs>
          <w:tab w:val="num" w:pos="1440"/>
        </w:tabs>
        <w:ind w:left="1440" w:hanging="360"/>
      </w:pPr>
      <w:rPr>
        <w:rFonts w:ascii="Arial" w:hAnsi="Arial" w:hint="default"/>
      </w:rPr>
    </w:lvl>
    <w:lvl w:ilvl="2" w:tplc="4DBC7648" w:tentative="1">
      <w:start w:val="1"/>
      <w:numFmt w:val="bullet"/>
      <w:lvlText w:val="•"/>
      <w:lvlJc w:val="left"/>
      <w:pPr>
        <w:tabs>
          <w:tab w:val="num" w:pos="2160"/>
        </w:tabs>
        <w:ind w:left="2160" w:hanging="360"/>
      </w:pPr>
      <w:rPr>
        <w:rFonts w:ascii="Arial" w:hAnsi="Arial" w:hint="default"/>
      </w:rPr>
    </w:lvl>
    <w:lvl w:ilvl="3" w:tplc="12DE2D5E" w:tentative="1">
      <w:start w:val="1"/>
      <w:numFmt w:val="bullet"/>
      <w:lvlText w:val="•"/>
      <w:lvlJc w:val="left"/>
      <w:pPr>
        <w:tabs>
          <w:tab w:val="num" w:pos="2880"/>
        </w:tabs>
        <w:ind w:left="2880" w:hanging="360"/>
      </w:pPr>
      <w:rPr>
        <w:rFonts w:ascii="Arial" w:hAnsi="Arial" w:hint="default"/>
      </w:rPr>
    </w:lvl>
    <w:lvl w:ilvl="4" w:tplc="DC9CC92E" w:tentative="1">
      <w:start w:val="1"/>
      <w:numFmt w:val="bullet"/>
      <w:lvlText w:val="•"/>
      <w:lvlJc w:val="left"/>
      <w:pPr>
        <w:tabs>
          <w:tab w:val="num" w:pos="3600"/>
        </w:tabs>
        <w:ind w:left="3600" w:hanging="360"/>
      </w:pPr>
      <w:rPr>
        <w:rFonts w:ascii="Arial" w:hAnsi="Arial" w:hint="default"/>
      </w:rPr>
    </w:lvl>
    <w:lvl w:ilvl="5" w:tplc="7FCC1430" w:tentative="1">
      <w:start w:val="1"/>
      <w:numFmt w:val="bullet"/>
      <w:lvlText w:val="•"/>
      <w:lvlJc w:val="left"/>
      <w:pPr>
        <w:tabs>
          <w:tab w:val="num" w:pos="4320"/>
        </w:tabs>
        <w:ind w:left="4320" w:hanging="360"/>
      </w:pPr>
      <w:rPr>
        <w:rFonts w:ascii="Arial" w:hAnsi="Arial" w:hint="default"/>
      </w:rPr>
    </w:lvl>
    <w:lvl w:ilvl="6" w:tplc="C75A4BCC" w:tentative="1">
      <w:start w:val="1"/>
      <w:numFmt w:val="bullet"/>
      <w:lvlText w:val="•"/>
      <w:lvlJc w:val="left"/>
      <w:pPr>
        <w:tabs>
          <w:tab w:val="num" w:pos="5040"/>
        </w:tabs>
        <w:ind w:left="5040" w:hanging="360"/>
      </w:pPr>
      <w:rPr>
        <w:rFonts w:ascii="Arial" w:hAnsi="Arial" w:hint="default"/>
      </w:rPr>
    </w:lvl>
    <w:lvl w:ilvl="7" w:tplc="1F5EAAA6" w:tentative="1">
      <w:start w:val="1"/>
      <w:numFmt w:val="bullet"/>
      <w:lvlText w:val="•"/>
      <w:lvlJc w:val="left"/>
      <w:pPr>
        <w:tabs>
          <w:tab w:val="num" w:pos="5760"/>
        </w:tabs>
        <w:ind w:left="5760" w:hanging="360"/>
      </w:pPr>
      <w:rPr>
        <w:rFonts w:ascii="Arial" w:hAnsi="Arial" w:hint="default"/>
      </w:rPr>
    </w:lvl>
    <w:lvl w:ilvl="8" w:tplc="22BE1C4E"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465068D"/>
    <w:multiLevelType w:val="hybridMultilevel"/>
    <w:tmpl w:val="ED02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C85EB5"/>
    <w:multiLevelType w:val="hybridMultilevel"/>
    <w:tmpl w:val="26620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6C35B45"/>
    <w:multiLevelType w:val="hybridMultilevel"/>
    <w:tmpl w:val="B8A4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0B4392"/>
    <w:multiLevelType w:val="hybridMultilevel"/>
    <w:tmpl w:val="04DCD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8B20791"/>
    <w:multiLevelType w:val="hybridMultilevel"/>
    <w:tmpl w:val="114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AC4BE5"/>
    <w:multiLevelType w:val="hybridMultilevel"/>
    <w:tmpl w:val="BDFA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963C3D"/>
    <w:multiLevelType w:val="hybridMultilevel"/>
    <w:tmpl w:val="EDF0B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51"/>
  </w:num>
  <w:num w:numId="3">
    <w:abstractNumId w:val="19"/>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4"/>
  </w:num>
  <w:num w:numId="7">
    <w:abstractNumId w:val="33"/>
  </w:num>
  <w:num w:numId="8">
    <w:abstractNumId w:val="38"/>
  </w:num>
  <w:num w:numId="9">
    <w:abstractNumId w:val="56"/>
  </w:num>
  <w:num w:numId="10">
    <w:abstractNumId w:val="40"/>
  </w:num>
  <w:num w:numId="11">
    <w:abstractNumId w:val="14"/>
  </w:num>
  <w:num w:numId="12">
    <w:abstractNumId w:val="39"/>
  </w:num>
  <w:num w:numId="13">
    <w:abstractNumId w:val="4"/>
  </w:num>
  <w:num w:numId="14">
    <w:abstractNumId w:val="42"/>
  </w:num>
  <w:num w:numId="15">
    <w:abstractNumId w:val="32"/>
  </w:num>
  <w:num w:numId="16">
    <w:abstractNumId w:val="8"/>
  </w:num>
  <w:num w:numId="17">
    <w:abstractNumId w:val="3"/>
  </w:num>
  <w:num w:numId="18">
    <w:abstractNumId w:val="46"/>
  </w:num>
  <w:num w:numId="19">
    <w:abstractNumId w:val="31"/>
  </w:num>
  <w:num w:numId="20">
    <w:abstractNumId w:val="34"/>
  </w:num>
  <w:num w:numId="21">
    <w:abstractNumId w:val="13"/>
  </w:num>
  <w:num w:numId="22">
    <w:abstractNumId w:val="36"/>
  </w:num>
  <w:num w:numId="23">
    <w:abstractNumId w:val="50"/>
  </w:num>
  <w:num w:numId="24">
    <w:abstractNumId w:val="49"/>
  </w:num>
  <w:num w:numId="25">
    <w:abstractNumId w:val="48"/>
  </w:num>
  <w:num w:numId="26">
    <w:abstractNumId w:val="9"/>
  </w:num>
  <w:num w:numId="27">
    <w:abstractNumId w:val="5"/>
  </w:num>
  <w:num w:numId="28">
    <w:abstractNumId w:val="22"/>
  </w:num>
  <w:num w:numId="2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30"/>
  </w:num>
  <w:num w:numId="32">
    <w:abstractNumId w:val="6"/>
  </w:num>
  <w:num w:numId="33">
    <w:abstractNumId w:val="21"/>
  </w:num>
  <w:num w:numId="34">
    <w:abstractNumId w:val="0"/>
  </w:num>
  <w:num w:numId="35">
    <w:abstractNumId w:val="11"/>
  </w:num>
  <w:num w:numId="36">
    <w:abstractNumId w:val="37"/>
  </w:num>
  <w:num w:numId="37">
    <w:abstractNumId w:val="15"/>
  </w:num>
  <w:num w:numId="38">
    <w:abstractNumId w:val="7"/>
  </w:num>
  <w:num w:numId="39">
    <w:abstractNumId w:val="27"/>
  </w:num>
  <w:num w:numId="40">
    <w:abstractNumId w:val="17"/>
  </w:num>
  <w:num w:numId="41">
    <w:abstractNumId w:val="28"/>
  </w:num>
  <w:num w:numId="42">
    <w:abstractNumId w:val="23"/>
  </w:num>
  <w:num w:numId="43">
    <w:abstractNumId w:val="41"/>
  </w:num>
  <w:num w:numId="44">
    <w:abstractNumId w:val="53"/>
  </w:num>
  <w:num w:numId="45">
    <w:abstractNumId w:val="1"/>
  </w:num>
  <w:num w:numId="46">
    <w:abstractNumId w:val="44"/>
  </w:num>
  <w:num w:numId="47">
    <w:abstractNumId w:val="35"/>
  </w:num>
  <w:num w:numId="48">
    <w:abstractNumId w:val="18"/>
  </w:num>
  <w:num w:numId="49">
    <w:abstractNumId w:val="55"/>
  </w:num>
  <w:num w:numId="50">
    <w:abstractNumId w:val="10"/>
  </w:num>
  <w:num w:numId="51">
    <w:abstractNumId w:val="12"/>
  </w:num>
  <w:num w:numId="52">
    <w:abstractNumId w:val="26"/>
  </w:num>
  <w:num w:numId="53">
    <w:abstractNumId w:val="54"/>
  </w:num>
  <w:num w:numId="54">
    <w:abstractNumId w:val="16"/>
  </w:num>
  <w:num w:numId="55">
    <w:abstractNumId w:val="47"/>
  </w:num>
  <w:num w:numId="56">
    <w:abstractNumId w:val="2"/>
  </w:num>
  <w:num w:numId="57">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de-DE" w:vendorID="64" w:dllVersion="6" w:nlCheck="1" w:checkStyle="0"/>
  <w:activeWritingStyle w:appName="MSWord" w:lang="en-US" w:vendorID="64" w:dllVersion="6" w:nlCheck="1" w:checkStyle="1"/>
  <w:activeWritingStyle w:appName="MSWord" w:lang="en-US"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E9"/>
    <w:rsid w:val="0000012E"/>
    <w:rsid w:val="00000886"/>
    <w:rsid w:val="00001553"/>
    <w:rsid w:val="0000171A"/>
    <w:rsid w:val="00001A5F"/>
    <w:rsid w:val="00001A8F"/>
    <w:rsid w:val="000027D6"/>
    <w:rsid w:val="0000281B"/>
    <w:rsid w:val="00002CA0"/>
    <w:rsid w:val="000042A2"/>
    <w:rsid w:val="0000440B"/>
    <w:rsid w:val="000047AC"/>
    <w:rsid w:val="00004B52"/>
    <w:rsid w:val="00004E1D"/>
    <w:rsid w:val="0000516C"/>
    <w:rsid w:val="00005522"/>
    <w:rsid w:val="000056D9"/>
    <w:rsid w:val="00005AA4"/>
    <w:rsid w:val="00005AE2"/>
    <w:rsid w:val="00007335"/>
    <w:rsid w:val="000073D1"/>
    <w:rsid w:val="0001091A"/>
    <w:rsid w:val="00011F16"/>
    <w:rsid w:val="00012060"/>
    <w:rsid w:val="00012536"/>
    <w:rsid w:val="00012A53"/>
    <w:rsid w:val="00012B2D"/>
    <w:rsid w:val="00012B61"/>
    <w:rsid w:val="00012CC8"/>
    <w:rsid w:val="00012F79"/>
    <w:rsid w:val="00013BCC"/>
    <w:rsid w:val="000142BF"/>
    <w:rsid w:val="0001465A"/>
    <w:rsid w:val="000156B7"/>
    <w:rsid w:val="00015E17"/>
    <w:rsid w:val="0001602F"/>
    <w:rsid w:val="00016651"/>
    <w:rsid w:val="00017035"/>
    <w:rsid w:val="000170F8"/>
    <w:rsid w:val="00017128"/>
    <w:rsid w:val="00017746"/>
    <w:rsid w:val="00017842"/>
    <w:rsid w:val="00017EC5"/>
    <w:rsid w:val="00020A29"/>
    <w:rsid w:val="00020C1C"/>
    <w:rsid w:val="00020EE2"/>
    <w:rsid w:val="0002139A"/>
    <w:rsid w:val="00021DAE"/>
    <w:rsid w:val="000230B5"/>
    <w:rsid w:val="000231B0"/>
    <w:rsid w:val="000236A2"/>
    <w:rsid w:val="00023D50"/>
    <w:rsid w:val="000241BD"/>
    <w:rsid w:val="00024343"/>
    <w:rsid w:val="00024A90"/>
    <w:rsid w:val="00024CE0"/>
    <w:rsid w:val="000261F7"/>
    <w:rsid w:val="00026288"/>
    <w:rsid w:val="00027444"/>
    <w:rsid w:val="000279D6"/>
    <w:rsid w:val="000301B3"/>
    <w:rsid w:val="000302C3"/>
    <w:rsid w:val="00030494"/>
    <w:rsid w:val="00030B91"/>
    <w:rsid w:val="00030C3E"/>
    <w:rsid w:val="00030C93"/>
    <w:rsid w:val="00031450"/>
    <w:rsid w:val="00031D03"/>
    <w:rsid w:val="00031D54"/>
    <w:rsid w:val="00031DED"/>
    <w:rsid w:val="00032185"/>
    <w:rsid w:val="0003272D"/>
    <w:rsid w:val="0003296D"/>
    <w:rsid w:val="00032C25"/>
    <w:rsid w:val="00032ECB"/>
    <w:rsid w:val="000337F2"/>
    <w:rsid w:val="000338AA"/>
    <w:rsid w:val="00033987"/>
    <w:rsid w:val="0003472E"/>
    <w:rsid w:val="00034D4D"/>
    <w:rsid w:val="000366AC"/>
    <w:rsid w:val="00036779"/>
    <w:rsid w:val="00036B9E"/>
    <w:rsid w:val="00036F68"/>
    <w:rsid w:val="0003747E"/>
    <w:rsid w:val="000377C0"/>
    <w:rsid w:val="00037868"/>
    <w:rsid w:val="00037932"/>
    <w:rsid w:val="00040921"/>
    <w:rsid w:val="00040C67"/>
    <w:rsid w:val="0004114A"/>
    <w:rsid w:val="00041265"/>
    <w:rsid w:val="0004158C"/>
    <w:rsid w:val="00041E2D"/>
    <w:rsid w:val="00042111"/>
    <w:rsid w:val="00042EFB"/>
    <w:rsid w:val="0004509E"/>
    <w:rsid w:val="000453D6"/>
    <w:rsid w:val="000459CA"/>
    <w:rsid w:val="000466CB"/>
    <w:rsid w:val="00046B79"/>
    <w:rsid w:val="00046C3E"/>
    <w:rsid w:val="00047C01"/>
    <w:rsid w:val="00047DA9"/>
    <w:rsid w:val="000501E2"/>
    <w:rsid w:val="00050923"/>
    <w:rsid w:val="00050E56"/>
    <w:rsid w:val="000520C0"/>
    <w:rsid w:val="000527FA"/>
    <w:rsid w:val="000529F5"/>
    <w:rsid w:val="000531E5"/>
    <w:rsid w:val="00053A62"/>
    <w:rsid w:val="00053EE0"/>
    <w:rsid w:val="00053FD6"/>
    <w:rsid w:val="00054532"/>
    <w:rsid w:val="00056065"/>
    <w:rsid w:val="0005612D"/>
    <w:rsid w:val="00056341"/>
    <w:rsid w:val="000566AD"/>
    <w:rsid w:val="000567A8"/>
    <w:rsid w:val="000602DC"/>
    <w:rsid w:val="00060AC6"/>
    <w:rsid w:val="000611CE"/>
    <w:rsid w:val="0006386E"/>
    <w:rsid w:val="00063A3B"/>
    <w:rsid w:val="000640C0"/>
    <w:rsid w:val="00065D96"/>
    <w:rsid w:val="00065F8A"/>
    <w:rsid w:val="000669BF"/>
    <w:rsid w:val="000672D0"/>
    <w:rsid w:val="0006765D"/>
    <w:rsid w:val="000677F5"/>
    <w:rsid w:val="00070134"/>
    <w:rsid w:val="0007043B"/>
    <w:rsid w:val="000708B9"/>
    <w:rsid w:val="000709D8"/>
    <w:rsid w:val="00070F5E"/>
    <w:rsid w:val="0007295A"/>
    <w:rsid w:val="00073B28"/>
    <w:rsid w:val="00074D7C"/>
    <w:rsid w:val="00075D2D"/>
    <w:rsid w:val="00075E90"/>
    <w:rsid w:val="000762E3"/>
    <w:rsid w:val="00076820"/>
    <w:rsid w:val="00076C74"/>
    <w:rsid w:val="00076FEF"/>
    <w:rsid w:val="000776D4"/>
    <w:rsid w:val="0007785B"/>
    <w:rsid w:val="0007793E"/>
    <w:rsid w:val="000809B0"/>
    <w:rsid w:val="00081864"/>
    <w:rsid w:val="00081A67"/>
    <w:rsid w:val="00082345"/>
    <w:rsid w:val="0008269C"/>
    <w:rsid w:val="000826F2"/>
    <w:rsid w:val="000833D2"/>
    <w:rsid w:val="00083ECD"/>
    <w:rsid w:val="00083F29"/>
    <w:rsid w:val="00084422"/>
    <w:rsid w:val="00084A49"/>
    <w:rsid w:val="00084B8B"/>
    <w:rsid w:val="00084E7D"/>
    <w:rsid w:val="0008521E"/>
    <w:rsid w:val="00085D0A"/>
    <w:rsid w:val="00086675"/>
    <w:rsid w:val="000866BA"/>
    <w:rsid w:val="00086F94"/>
    <w:rsid w:val="00087389"/>
    <w:rsid w:val="00087D1E"/>
    <w:rsid w:val="00087F13"/>
    <w:rsid w:val="00090377"/>
    <w:rsid w:val="00090EF1"/>
    <w:rsid w:val="00090EF9"/>
    <w:rsid w:val="0009244C"/>
    <w:rsid w:val="00093A03"/>
    <w:rsid w:val="000944C4"/>
    <w:rsid w:val="000945FD"/>
    <w:rsid w:val="00094BBF"/>
    <w:rsid w:val="00094EF9"/>
    <w:rsid w:val="00095BAA"/>
    <w:rsid w:val="00096316"/>
    <w:rsid w:val="00096BEB"/>
    <w:rsid w:val="00096EF5"/>
    <w:rsid w:val="000972B1"/>
    <w:rsid w:val="0009744F"/>
    <w:rsid w:val="00097561"/>
    <w:rsid w:val="000A0941"/>
    <w:rsid w:val="000A0B51"/>
    <w:rsid w:val="000A0ED7"/>
    <w:rsid w:val="000A125C"/>
    <w:rsid w:val="000A14CB"/>
    <w:rsid w:val="000A1C59"/>
    <w:rsid w:val="000A2585"/>
    <w:rsid w:val="000A3957"/>
    <w:rsid w:val="000A4246"/>
    <w:rsid w:val="000A4AB7"/>
    <w:rsid w:val="000A5067"/>
    <w:rsid w:val="000A5651"/>
    <w:rsid w:val="000A5D9A"/>
    <w:rsid w:val="000A6457"/>
    <w:rsid w:val="000A6C4D"/>
    <w:rsid w:val="000A704E"/>
    <w:rsid w:val="000A7394"/>
    <w:rsid w:val="000A7B1D"/>
    <w:rsid w:val="000A7CE2"/>
    <w:rsid w:val="000B028E"/>
    <w:rsid w:val="000B06D2"/>
    <w:rsid w:val="000B1190"/>
    <w:rsid w:val="000B263C"/>
    <w:rsid w:val="000B2AE6"/>
    <w:rsid w:val="000B2B61"/>
    <w:rsid w:val="000B35DB"/>
    <w:rsid w:val="000B3FD3"/>
    <w:rsid w:val="000B405E"/>
    <w:rsid w:val="000B4677"/>
    <w:rsid w:val="000B4A5A"/>
    <w:rsid w:val="000B4B76"/>
    <w:rsid w:val="000B5366"/>
    <w:rsid w:val="000B54E8"/>
    <w:rsid w:val="000B683E"/>
    <w:rsid w:val="000B703E"/>
    <w:rsid w:val="000B727F"/>
    <w:rsid w:val="000C065A"/>
    <w:rsid w:val="000C06E6"/>
    <w:rsid w:val="000C0D8B"/>
    <w:rsid w:val="000C1E5B"/>
    <w:rsid w:val="000C214C"/>
    <w:rsid w:val="000C2423"/>
    <w:rsid w:val="000C33DC"/>
    <w:rsid w:val="000C3EE4"/>
    <w:rsid w:val="000C4014"/>
    <w:rsid w:val="000C447C"/>
    <w:rsid w:val="000C46E3"/>
    <w:rsid w:val="000C51CE"/>
    <w:rsid w:val="000C54D4"/>
    <w:rsid w:val="000C560B"/>
    <w:rsid w:val="000C5B55"/>
    <w:rsid w:val="000C6035"/>
    <w:rsid w:val="000C6187"/>
    <w:rsid w:val="000C628B"/>
    <w:rsid w:val="000C659F"/>
    <w:rsid w:val="000C6608"/>
    <w:rsid w:val="000C6647"/>
    <w:rsid w:val="000C677D"/>
    <w:rsid w:val="000C68F5"/>
    <w:rsid w:val="000C72E4"/>
    <w:rsid w:val="000D0030"/>
    <w:rsid w:val="000D04F8"/>
    <w:rsid w:val="000D104F"/>
    <w:rsid w:val="000D1853"/>
    <w:rsid w:val="000D233F"/>
    <w:rsid w:val="000D28CB"/>
    <w:rsid w:val="000D371C"/>
    <w:rsid w:val="000D3AE9"/>
    <w:rsid w:val="000D47FF"/>
    <w:rsid w:val="000D4F3F"/>
    <w:rsid w:val="000D5D5C"/>
    <w:rsid w:val="000D63DD"/>
    <w:rsid w:val="000D7411"/>
    <w:rsid w:val="000E00B8"/>
    <w:rsid w:val="000E07E4"/>
    <w:rsid w:val="000E09CB"/>
    <w:rsid w:val="000E0C29"/>
    <w:rsid w:val="000E105A"/>
    <w:rsid w:val="000E13FE"/>
    <w:rsid w:val="000E1A37"/>
    <w:rsid w:val="000E1ADE"/>
    <w:rsid w:val="000E2A00"/>
    <w:rsid w:val="000E2CCB"/>
    <w:rsid w:val="000E34B6"/>
    <w:rsid w:val="000E39F7"/>
    <w:rsid w:val="000E3D0B"/>
    <w:rsid w:val="000E3E48"/>
    <w:rsid w:val="000E496C"/>
    <w:rsid w:val="000E49CA"/>
    <w:rsid w:val="000E4A75"/>
    <w:rsid w:val="000E6247"/>
    <w:rsid w:val="000E64C2"/>
    <w:rsid w:val="000E67AF"/>
    <w:rsid w:val="000E6AF8"/>
    <w:rsid w:val="000E785C"/>
    <w:rsid w:val="000E7A8C"/>
    <w:rsid w:val="000E7D94"/>
    <w:rsid w:val="000F0235"/>
    <w:rsid w:val="000F05AA"/>
    <w:rsid w:val="000F0FF4"/>
    <w:rsid w:val="000F159A"/>
    <w:rsid w:val="000F1EC0"/>
    <w:rsid w:val="000F208B"/>
    <w:rsid w:val="000F2299"/>
    <w:rsid w:val="000F26D6"/>
    <w:rsid w:val="000F320E"/>
    <w:rsid w:val="000F331E"/>
    <w:rsid w:val="000F39A9"/>
    <w:rsid w:val="000F48F7"/>
    <w:rsid w:val="000F4984"/>
    <w:rsid w:val="000F5016"/>
    <w:rsid w:val="000F5D22"/>
    <w:rsid w:val="000F6A33"/>
    <w:rsid w:val="000F7180"/>
    <w:rsid w:val="00100DFF"/>
    <w:rsid w:val="001011F5"/>
    <w:rsid w:val="00101EDD"/>
    <w:rsid w:val="00102385"/>
    <w:rsid w:val="00102551"/>
    <w:rsid w:val="00102D0D"/>
    <w:rsid w:val="00102D9F"/>
    <w:rsid w:val="00102FE7"/>
    <w:rsid w:val="001031F8"/>
    <w:rsid w:val="00103999"/>
    <w:rsid w:val="00103AAA"/>
    <w:rsid w:val="00103AEC"/>
    <w:rsid w:val="00103B31"/>
    <w:rsid w:val="00104F67"/>
    <w:rsid w:val="00105173"/>
    <w:rsid w:val="00105281"/>
    <w:rsid w:val="0010558F"/>
    <w:rsid w:val="001056D6"/>
    <w:rsid w:val="0010588C"/>
    <w:rsid w:val="00105D56"/>
    <w:rsid w:val="00105DAF"/>
    <w:rsid w:val="00105EF3"/>
    <w:rsid w:val="001068C3"/>
    <w:rsid w:val="00106E25"/>
    <w:rsid w:val="001074D8"/>
    <w:rsid w:val="0011025B"/>
    <w:rsid w:val="0011057E"/>
    <w:rsid w:val="001108A4"/>
    <w:rsid w:val="001112B3"/>
    <w:rsid w:val="001119DC"/>
    <w:rsid w:val="001129EE"/>
    <w:rsid w:val="0011332D"/>
    <w:rsid w:val="00114CF3"/>
    <w:rsid w:val="001150E3"/>
    <w:rsid w:val="00115437"/>
    <w:rsid w:val="00115FC4"/>
    <w:rsid w:val="001168BB"/>
    <w:rsid w:val="00116938"/>
    <w:rsid w:val="0011759C"/>
    <w:rsid w:val="00117A47"/>
    <w:rsid w:val="00117C60"/>
    <w:rsid w:val="0012043F"/>
    <w:rsid w:val="00122197"/>
    <w:rsid w:val="00122507"/>
    <w:rsid w:val="00122AE8"/>
    <w:rsid w:val="00123309"/>
    <w:rsid w:val="00124389"/>
    <w:rsid w:val="0012471F"/>
    <w:rsid w:val="00124CD4"/>
    <w:rsid w:val="00125E2A"/>
    <w:rsid w:val="001260C2"/>
    <w:rsid w:val="001265FA"/>
    <w:rsid w:val="00126906"/>
    <w:rsid w:val="00126EDF"/>
    <w:rsid w:val="00126FAB"/>
    <w:rsid w:val="00126FBA"/>
    <w:rsid w:val="00127200"/>
    <w:rsid w:val="00127567"/>
    <w:rsid w:val="00127820"/>
    <w:rsid w:val="00127976"/>
    <w:rsid w:val="00127A39"/>
    <w:rsid w:val="00131FE7"/>
    <w:rsid w:val="00134F1D"/>
    <w:rsid w:val="00135659"/>
    <w:rsid w:val="00136056"/>
    <w:rsid w:val="001363E4"/>
    <w:rsid w:val="0013727C"/>
    <w:rsid w:val="00137CF5"/>
    <w:rsid w:val="00140168"/>
    <w:rsid w:val="001406A6"/>
    <w:rsid w:val="00141812"/>
    <w:rsid w:val="00143FFF"/>
    <w:rsid w:val="00144E6C"/>
    <w:rsid w:val="00145568"/>
    <w:rsid w:val="001474C4"/>
    <w:rsid w:val="001479F7"/>
    <w:rsid w:val="0015134F"/>
    <w:rsid w:val="00151E98"/>
    <w:rsid w:val="00152B1C"/>
    <w:rsid w:val="001538A6"/>
    <w:rsid w:val="00153AE2"/>
    <w:rsid w:val="001543DF"/>
    <w:rsid w:val="00154487"/>
    <w:rsid w:val="0015474D"/>
    <w:rsid w:val="0015597C"/>
    <w:rsid w:val="00155AFD"/>
    <w:rsid w:val="00156543"/>
    <w:rsid w:val="00156F54"/>
    <w:rsid w:val="001570CA"/>
    <w:rsid w:val="0015743E"/>
    <w:rsid w:val="0015744D"/>
    <w:rsid w:val="001577D3"/>
    <w:rsid w:val="00157952"/>
    <w:rsid w:val="001600FF"/>
    <w:rsid w:val="00160D18"/>
    <w:rsid w:val="0016138B"/>
    <w:rsid w:val="0016171A"/>
    <w:rsid w:val="001619D8"/>
    <w:rsid w:val="0016240B"/>
    <w:rsid w:val="0016351D"/>
    <w:rsid w:val="001639B0"/>
    <w:rsid w:val="00163E13"/>
    <w:rsid w:val="00163E23"/>
    <w:rsid w:val="00164A77"/>
    <w:rsid w:val="00164DF3"/>
    <w:rsid w:val="00164DF7"/>
    <w:rsid w:val="00164E5B"/>
    <w:rsid w:val="00164E67"/>
    <w:rsid w:val="00165152"/>
    <w:rsid w:val="00166A06"/>
    <w:rsid w:val="00166A1B"/>
    <w:rsid w:val="00166C8A"/>
    <w:rsid w:val="00166E01"/>
    <w:rsid w:val="001677EC"/>
    <w:rsid w:val="00170862"/>
    <w:rsid w:val="00170900"/>
    <w:rsid w:val="00170E65"/>
    <w:rsid w:val="00172044"/>
    <w:rsid w:val="00172232"/>
    <w:rsid w:val="0017252E"/>
    <w:rsid w:val="001727B8"/>
    <w:rsid w:val="00172862"/>
    <w:rsid w:val="00173231"/>
    <w:rsid w:val="0017482F"/>
    <w:rsid w:val="00175ECF"/>
    <w:rsid w:val="00176B41"/>
    <w:rsid w:val="00177EEE"/>
    <w:rsid w:val="00180847"/>
    <w:rsid w:val="00181D8A"/>
    <w:rsid w:val="001820F1"/>
    <w:rsid w:val="0018254B"/>
    <w:rsid w:val="001835B4"/>
    <w:rsid w:val="00183620"/>
    <w:rsid w:val="00183C03"/>
    <w:rsid w:val="00183FAA"/>
    <w:rsid w:val="00184015"/>
    <w:rsid w:val="00184422"/>
    <w:rsid w:val="001846D3"/>
    <w:rsid w:val="001854F1"/>
    <w:rsid w:val="00186088"/>
    <w:rsid w:val="001866AF"/>
    <w:rsid w:val="0019012C"/>
    <w:rsid w:val="00190298"/>
    <w:rsid w:val="001907DB"/>
    <w:rsid w:val="001908C4"/>
    <w:rsid w:val="00191CA4"/>
    <w:rsid w:val="00191D32"/>
    <w:rsid w:val="00192989"/>
    <w:rsid w:val="00192CF0"/>
    <w:rsid w:val="0019364B"/>
    <w:rsid w:val="00193929"/>
    <w:rsid w:val="001950EC"/>
    <w:rsid w:val="001952B3"/>
    <w:rsid w:val="001958B7"/>
    <w:rsid w:val="001958BF"/>
    <w:rsid w:val="001958CD"/>
    <w:rsid w:val="00196D9D"/>
    <w:rsid w:val="0019706F"/>
    <w:rsid w:val="0019764A"/>
    <w:rsid w:val="00197BF9"/>
    <w:rsid w:val="00197FFB"/>
    <w:rsid w:val="001A0DC5"/>
    <w:rsid w:val="001A11F6"/>
    <w:rsid w:val="001A143A"/>
    <w:rsid w:val="001A1A13"/>
    <w:rsid w:val="001A1CE6"/>
    <w:rsid w:val="001A1F29"/>
    <w:rsid w:val="001A2142"/>
    <w:rsid w:val="001A2B6D"/>
    <w:rsid w:val="001A2BE9"/>
    <w:rsid w:val="001A348E"/>
    <w:rsid w:val="001A34CE"/>
    <w:rsid w:val="001A3F93"/>
    <w:rsid w:val="001A45F3"/>
    <w:rsid w:val="001A4B56"/>
    <w:rsid w:val="001A4D9C"/>
    <w:rsid w:val="001A513A"/>
    <w:rsid w:val="001A57B8"/>
    <w:rsid w:val="001A6CDC"/>
    <w:rsid w:val="001A6F9A"/>
    <w:rsid w:val="001B0989"/>
    <w:rsid w:val="001B0CC5"/>
    <w:rsid w:val="001B0DD2"/>
    <w:rsid w:val="001B14FE"/>
    <w:rsid w:val="001B177C"/>
    <w:rsid w:val="001B1FA7"/>
    <w:rsid w:val="001B208E"/>
    <w:rsid w:val="001B21A8"/>
    <w:rsid w:val="001B222D"/>
    <w:rsid w:val="001B3671"/>
    <w:rsid w:val="001B3D54"/>
    <w:rsid w:val="001B491F"/>
    <w:rsid w:val="001B5054"/>
    <w:rsid w:val="001B5589"/>
    <w:rsid w:val="001B5649"/>
    <w:rsid w:val="001B58B5"/>
    <w:rsid w:val="001B5C54"/>
    <w:rsid w:val="001B5D02"/>
    <w:rsid w:val="001B67DE"/>
    <w:rsid w:val="001B75BC"/>
    <w:rsid w:val="001B766B"/>
    <w:rsid w:val="001B7DB5"/>
    <w:rsid w:val="001B7FEE"/>
    <w:rsid w:val="001C1280"/>
    <w:rsid w:val="001C2188"/>
    <w:rsid w:val="001C2CA1"/>
    <w:rsid w:val="001C2F9C"/>
    <w:rsid w:val="001C305B"/>
    <w:rsid w:val="001C380C"/>
    <w:rsid w:val="001C4D8D"/>
    <w:rsid w:val="001C4FCB"/>
    <w:rsid w:val="001C53FB"/>
    <w:rsid w:val="001C665D"/>
    <w:rsid w:val="001C7C66"/>
    <w:rsid w:val="001D0357"/>
    <w:rsid w:val="001D048A"/>
    <w:rsid w:val="001D0764"/>
    <w:rsid w:val="001D12AB"/>
    <w:rsid w:val="001D21DB"/>
    <w:rsid w:val="001D25D8"/>
    <w:rsid w:val="001D2F16"/>
    <w:rsid w:val="001D36F2"/>
    <w:rsid w:val="001D3D65"/>
    <w:rsid w:val="001D5790"/>
    <w:rsid w:val="001D59A2"/>
    <w:rsid w:val="001D737C"/>
    <w:rsid w:val="001D7405"/>
    <w:rsid w:val="001E00E4"/>
    <w:rsid w:val="001E06BD"/>
    <w:rsid w:val="001E09F4"/>
    <w:rsid w:val="001E0F9C"/>
    <w:rsid w:val="001E200A"/>
    <w:rsid w:val="001E2731"/>
    <w:rsid w:val="001E2A12"/>
    <w:rsid w:val="001E308C"/>
    <w:rsid w:val="001E30A1"/>
    <w:rsid w:val="001E30C6"/>
    <w:rsid w:val="001E3DD2"/>
    <w:rsid w:val="001E40ED"/>
    <w:rsid w:val="001E46A4"/>
    <w:rsid w:val="001E5ED3"/>
    <w:rsid w:val="001E6377"/>
    <w:rsid w:val="001E6809"/>
    <w:rsid w:val="001E6C1D"/>
    <w:rsid w:val="001E7315"/>
    <w:rsid w:val="001E742B"/>
    <w:rsid w:val="001E7E98"/>
    <w:rsid w:val="001F0EA5"/>
    <w:rsid w:val="001F1EB5"/>
    <w:rsid w:val="001F2D6C"/>
    <w:rsid w:val="001F3685"/>
    <w:rsid w:val="001F4901"/>
    <w:rsid w:val="001F4CCA"/>
    <w:rsid w:val="001F509B"/>
    <w:rsid w:val="001F5AAC"/>
    <w:rsid w:val="001F5C9F"/>
    <w:rsid w:val="001F66E3"/>
    <w:rsid w:val="001F6A4C"/>
    <w:rsid w:val="001F73F3"/>
    <w:rsid w:val="001F74E8"/>
    <w:rsid w:val="002000ED"/>
    <w:rsid w:val="00201401"/>
    <w:rsid w:val="00201E1A"/>
    <w:rsid w:val="00201F93"/>
    <w:rsid w:val="002021F8"/>
    <w:rsid w:val="00203091"/>
    <w:rsid w:val="002036E6"/>
    <w:rsid w:val="00203884"/>
    <w:rsid w:val="00203FD6"/>
    <w:rsid w:val="00204025"/>
    <w:rsid w:val="0020419B"/>
    <w:rsid w:val="002045B3"/>
    <w:rsid w:val="00204B3E"/>
    <w:rsid w:val="00204F08"/>
    <w:rsid w:val="00205244"/>
    <w:rsid w:val="0020535F"/>
    <w:rsid w:val="00205978"/>
    <w:rsid w:val="002061D2"/>
    <w:rsid w:val="0020640A"/>
    <w:rsid w:val="00210007"/>
    <w:rsid w:val="00210CA9"/>
    <w:rsid w:val="002112CD"/>
    <w:rsid w:val="002115E5"/>
    <w:rsid w:val="002122CE"/>
    <w:rsid w:val="00212659"/>
    <w:rsid w:val="00212B05"/>
    <w:rsid w:val="00212B21"/>
    <w:rsid w:val="00213D39"/>
    <w:rsid w:val="002141DA"/>
    <w:rsid w:val="0021546E"/>
    <w:rsid w:val="00216D05"/>
    <w:rsid w:val="00220178"/>
    <w:rsid w:val="00220251"/>
    <w:rsid w:val="0022049F"/>
    <w:rsid w:val="002205C7"/>
    <w:rsid w:val="002224E0"/>
    <w:rsid w:val="00222953"/>
    <w:rsid w:val="00222C14"/>
    <w:rsid w:val="00223028"/>
    <w:rsid w:val="002232DF"/>
    <w:rsid w:val="00223695"/>
    <w:rsid w:val="0022379A"/>
    <w:rsid w:val="00224649"/>
    <w:rsid w:val="00225BC0"/>
    <w:rsid w:val="00227367"/>
    <w:rsid w:val="002303E5"/>
    <w:rsid w:val="002303F2"/>
    <w:rsid w:val="00230647"/>
    <w:rsid w:val="002317E5"/>
    <w:rsid w:val="00231EBC"/>
    <w:rsid w:val="0023226C"/>
    <w:rsid w:val="00232CC2"/>
    <w:rsid w:val="00233618"/>
    <w:rsid w:val="0023366C"/>
    <w:rsid w:val="0023370A"/>
    <w:rsid w:val="002343D8"/>
    <w:rsid w:val="00234DCA"/>
    <w:rsid w:val="00235811"/>
    <w:rsid w:val="00235A09"/>
    <w:rsid w:val="00235CA4"/>
    <w:rsid w:val="00236315"/>
    <w:rsid w:val="00236618"/>
    <w:rsid w:val="00236AC2"/>
    <w:rsid w:val="00236E61"/>
    <w:rsid w:val="0023712A"/>
    <w:rsid w:val="00237A77"/>
    <w:rsid w:val="00240EC3"/>
    <w:rsid w:val="00241CDF"/>
    <w:rsid w:val="00241FB1"/>
    <w:rsid w:val="00242088"/>
    <w:rsid w:val="0024290A"/>
    <w:rsid w:val="002435E0"/>
    <w:rsid w:val="002444E1"/>
    <w:rsid w:val="00244DCC"/>
    <w:rsid w:val="002451D6"/>
    <w:rsid w:val="00245E6A"/>
    <w:rsid w:val="00245F46"/>
    <w:rsid w:val="0024680F"/>
    <w:rsid w:val="00246D08"/>
    <w:rsid w:val="00247508"/>
    <w:rsid w:val="00250E8C"/>
    <w:rsid w:val="0025135C"/>
    <w:rsid w:val="002527E8"/>
    <w:rsid w:val="00252868"/>
    <w:rsid w:val="00252B81"/>
    <w:rsid w:val="00253249"/>
    <w:rsid w:val="00253ECB"/>
    <w:rsid w:val="00254D1C"/>
    <w:rsid w:val="00255813"/>
    <w:rsid w:val="00255954"/>
    <w:rsid w:val="0025652E"/>
    <w:rsid w:val="002607D8"/>
    <w:rsid w:val="00260E46"/>
    <w:rsid w:val="00261155"/>
    <w:rsid w:val="0026120B"/>
    <w:rsid w:val="0026125E"/>
    <w:rsid w:val="00261957"/>
    <w:rsid w:val="002621A4"/>
    <w:rsid w:val="00262BA4"/>
    <w:rsid w:val="00262C29"/>
    <w:rsid w:val="00262CF7"/>
    <w:rsid w:val="0026316C"/>
    <w:rsid w:val="00264180"/>
    <w:rsid w:val="00264CF9"/>
    <w:rsid w:val="00264FCE"/>
    <w:rsid w:val="00265520"/>
    <w:rsid w:val="002655E9"/>
    <w:rsid w:val="00266815"/>
    <w:rsid w:val="00266F02"/>
    <w:rsid w:val="00271338"/>
    <w:rsid w:val="00271748"/>
    <w:rsid w:val="00271F5B"/>
    <w:rsid w:val="00272B12"/>
    <w:rsid w:val="00272CF1"/>
    <w:rsid w:val="00273367"/>
    <w:rsid w:val="002733C9"/>
    <w:rsid w:val="002739AA"/>
    <w:rsid w:val="00273A84"/>
    <w:rsid w:val="00273E22"/>
    <w:rsid w:val="00273E50"/>
    <w:rsid w:val="00274B39"/>
    <w:rsid w:val="00275B6F"/>
    <w:rsid w:val="00276319"/>
    <w:rsid w:val="002767C1"/>
    <w:rsid w:val="00276F4A"/>
    <w:rsid w:val="00277168"/>
    <w:rsid w:val="002805FE"/>
    <w:rsid w:val="00280A6E"/>
    <w:rsid w:val="00280CB8"/>
    <w:rsid w:val="00281113"/>
    <w:rsid w:val="002815FA"/>
    <w:rsid w:val="00281916"/>
    <w:rsid w:val="002819D6"/>
    <w:rsid w:val="0028218B"/>
    <w:rsid w:val="002831FF"/>
    <w:rsid w:val="002837E0"/>
    <w:rsid w:val="00283A8E"/>
    <w:rsid w:val="00284F74"/>
    <w:rsid w:val="00285245"/>
    <w:rsid w:val="00285833"/>
    <w:rsid w:val="002862C4"/>
    <w:rsid w:val="00286952"/>
    <w:rsid w:val="00287041"/>
    <w:rsid w:val="00287BB2"/>
    <w:rsid w:val="002902D3"/>
    <w:rsid w:val="00291DB5"/>
    <w:rsid w:val="00292007"/>
    <w:rsid w:val="00292CF6"/>
    <w:rsid w:val="00293B8C"/>
    <w:rsid w:val="00293F81"/>
    <w:rsid w:val="00294C63"/>
    <w:rsid w:val="00295917"/>
    <w:rsid w:val="00295C8A"/>
    <w:rsid w:val="00295C95"/>
    <w:rsid w:val="0029604B"/>
    <w:rsid w:val="00296466"/>
    <w:rsid w:val="00296C75"/>
    <w:rsid w:val="00296F24"/>
    <w:rsid w:val="00296FA5"/>
    <w:rsid w:val="0029722F"/>
    <w:rsid w:val="0029731E"/>
    <w:rsid w:val="002977D0"/>
    <w:rsid w:val="002978D4"/>
    <w:rsid w:val="00297CA1"/>
    <w:rsid w:val="002A0303"/>
    <w:rsid w:val="002A1041"/>
    <w:rsid w:val="002A346C"/>
    <w:rsid w:val="002A379A"/>
    <w:rsid w:val="002A3875"/>
    <w:rsid w:val="002A3B55"/>
    <w:rsid w:val="002A4154"/>
    <w:rsid w:val="002A487E"/>
    <w:rsid w:val="002A58C1"/>
    <w:rsid w:val="002A6472"/>
    <w:rsid w:val="002A68E2"/>
    <w:rsid w:val="002A6D1E"/>
    <w:rsid w:val="002A725F"/>
    <w:rsid w:val="002A72E0"/>
    <w:rsid w:val="002A753D"/>
    <w:rsid w:val="002A7F08"/>
    <w:rsid w:val="002B0A4D"/>
    <w:rsid w:val="002B124E"/>
    <w:rsid w:val="002B1FE0"/>
    <w:rsid w:val="002B264B"/>
    <w:rsid w:val="002B2A05"/>
    <w:rsid w:val="002B2F37"/>
    <w:rsid w:val="002B35E9"/>
    <w:rsid w:val="002B3737"/>
    <w:rsid w:val="002B4F67"/>
    <w:rsid w:val="002B4FF6"/>
    <w:rsid w:val="002B55AD"/>
    <w:rsid w:val="002B57F6"/>
    <w:rsid w:val="002B5BC0"/>
    <w:rsid w:val="002B6582"/>
    <w:rsid w:val="002B6DE1"/>
    <w:rsid w:val="002B6E6D"/>
    <w:rsid w:val="002B72DC"/>
    <w:rsid w:val="002B7E95"/>
    <w:rsid w:val="002B7EE4"/>
    <w:rsid w:val="002C0304"/>
    <w:rsid w:val="002C043F"/>
    <w:rsid w:val="002C0DB9"/>
    <w:rsid w:val="002C1763"/>
    <w:rsid w:val="002C1A2D"/>
    <w:rsid w:val="002C2126"/>
    <w:rsid w:val="002C22DA"/>
    <w:rsid w:val="002C233D"/>
    <w:rsid w:val="002C294B"/>
    <w:rsid w:val="002C3C9C"/>
    <w:rsid w:val="002C3FD0"/>
    <w:rsid w:val="002C4CC2"/>
    <w:rsid w:val="002C53FD"/>
    <w:rsid w:val="002C5525"/>
    <w:rsid w:val="002C5816"/>
    <w:rsid w:val="002C5AB6"/>
    <w:rsid w:val="002C64EF"/>
    <w:rsid w:val="002C6C74"/>
    <w:rsid w:val="002C7559"/>
    <w:rsid w:val="002C75D0"/>
    <w:rsid w:val="002C7A7F"/>
    <w:rsid w:val="002C7CD0"/>
    <w:rsid w:val="002C7E79"/>
    <w:rsid w:val="002D4586"/>
    <w:rsid w:val="002D5C2E"/>
    <w:rsid w:val="002D5ECF"/>
    <w:rsid w:val="002D6B7D"/>
    <w:rsid w:val="002D7185"/>
    <w:rsid w:val="002D74A7"/>
    <w:rsid w:val="002D774B"/>
    <w:rsid w:val="002D7974"/>
    <w:rsid w:val="002D7B98"/>
    <w:rsid w:val="002D7FEB"/>
    <w:rsid w:val="002E04F2"/>
    <w:rsid w:val="002E20F4"/>
    <w:rsid w:val="002E3791"/>
    <w:rsid w:val="002E394D"/>
    <w:rsid w:val="002E3A9A"/>
    <w:rsid w:val="002E3F55"/>
    <w:rsid w:val="002E3FC7"/>
    <w:rsid w:val="002E4544"/>
    <w:rsid w:val="002E4859"/>
    <w:rsid w:val="002E4C56"/>
    <w:rsid w:val="002E7171"/>
    <w:rsid w:val="002E7C75"/>
    <w:rsid w:val="002E7F5D"/>
    <w:rsid w:val="002F055E"/>
    <w:rsid w:val="002F0820"/>
    <w:rsid w:val="002F0851"/>
    <w:rsid w:val="002F0952"/>
    <w:rsid w:val="002F0E5D"/>
    <w:rsid w:val="002F0F9B"/>
    <w:rsid w:val="002F151E"/>
    <w:rsid w:val="002F1BF5"/>
    <w:rsid w:val="002F2E55"/>
    <w:rsid w:val="002F3084"/>
    <w:rsid w:val="002F3294"/>
    <w:rsid w:val="002F3952"/>
    <w:rsid w:val="002F3A53"/>
    <w:rsid w:val="002F50F9"/>
    <w:rsid w:val="002F5A82"/>
    <w:rsid w:val="002F6075"/>
    <w:rsid w:val="002F6710"/>
    <w:rsid w:val="002F6980"/>
    <w:rsid w:val="002F6FC7"/>
    <w:rsid w:val="003012DC"/>
    <w:rsid w:val="00301675"/>
    <w:rsid w:val="0030190F"/>
    <w:rsid w:val="00301951"/>
    <w:rsid w:val="00301D17"/>
    <w:rsid w:val="00302194"/>
    <w:rsid w:val="00302BDD"/>
    <w:rsid w:val="00303EA4"/>
    <w:rsid w:val="00304312"/>
    <w:rsid w:val="003043B5"/>
    <w:rsid w:val="00304DF1"/>
    <w:rsid w:val="003051C1"/>
    <w:rsid w:val="0030605B"/>
    <w:rsid w:val="003061C8"/>
    <w:rsid w:val="003066A7"/>
    <w:rsid w:val="00307142"/>
    <w:rsid w:val="0030797F"/>
    <w:rsid w:val="00307D01"/>
    <w:rsid w:val="00307F51"/>
    <w:rsid w:val="0031006C"/>
    <w:rsid w:val="00310675"/>
    <w:rsid w:val="003106D6"/>
    <w:rsid w:val="00310A4C"/>
    <w:rsid w:val="00310A98"/>
    <w:rsid w:val="00310B4A"/>
    <w:rsid w:val="00312E13"/>
    <w:rsid w:val="00312F8B"/>
    <w:rsid w:val="00313A0E"/>
    <w:rsid w:val="00313F29"/>
    <w:rsid w:val="00314798"/>
    <w:rsid w:val="003149C3"/>
    <w:rsid w:val="003153AC"/>
    <w:rsid w:val="00316050"/>
    <w:rsid w:val="00316C10"/>
    <w:rsid w:val="00316CCE"/>
    <w:rsid w:val="00317226"/>
    <w:rsid w:val="003172F5"/>
    <w:rsid w:val="003174D6"/>
    <w:rsid w:val="00317B3A"/>
    <w:rsid w:val="00317EF5"/>
    <w:rsid w:val="003200CB"/>
    <w:rsid w:val="003209F8"/>
    <w:rsid w:val="00320D5B"/>
    <w:rsid w:val="00320E57"/>
    <w:rsid w:val="00320F69"/>
    <w:rsid w:val="00320FA7"/>
    <w:rsid w:val="00321389"/>
    <w:rsid w:val="003217DD"/>
    <w:rsid w:val="00321E8D"/>
    <w:rsid w:val="00322714"/>
    <w:rsid w:val="00322B9C"/>
    <w:rsid w:val="00323C5F"/>
    <w:rsid w:val="00323DBC"/>
    <w:rsid w:val="0032438D"/>
    <w:rsid w:val="00324898"/>
    <w:rsid w:val="00324CE9"/>
    <w:rsid w:val="00324F10"/>
    <w:rsid w:val="00325E18"/>
    <w:rsid w:val="00326944"/>
    <w:rsid w:val="00327566"/>
    <w:rsid w:val="0032791D"/>
    <w:rsid w:val="00327EC5"/>
    <w:rsid w:val="00330AA2"/>
    <w:rsid w:val="0033110A"/>
    <w:rsid w:val="00331288"/>
    <w:rsid w:val="003313FC"/>
    <w:rsid w:val="00332A87"/>
    <w:rsid w:val="00333168"/>
    <w:rsid w:val="003333DC"/>
    <w:rsid w:val="003333EA"/>
    <w:rsid w:val="00333684"/>
    <w:rsid w:val="0033370A"/>
    <w:rsid w:val="00333F7C"/>
    <w:rsid w:val="00334165"/>
    <w:rsid w:val="00334244"/>
    <w:rsid w:val="00334580"/>
    <w:rsid w:val="00334C33"/>
    <w:rsid w:val="00335502"/>
    <w:rsid w:val="00335EEC"/>
    <w:rsid w:val="0033639A"/>
    <w:rsid w:val="00336543"/>
    <w:rsid w:val="003400FB"/>
    <w:rsid w:val="003416E0"/>
    <w:rsid w:val="003420D5"/>
    <w:rsid w:val="00342433"/>
    <w:rsid w:val="0034264D"/>
    <w:rsid w:val="00343E57"/>
    <w:rsid w:val="00345331"/>
    <w:rsid w:val="00345D44"/>
    <w:rsid w:val="00346710"/>
    <w:rsid w:val="00346713"/>
    <w:rsid w:val="003468AD"/>
    <w:rsid w:val="00346E9C"/>
    <w:rsid w:val="00347365"/>
    <w:rsid w:val="00347430"/>
    <w:rsid w:val="00347D00"/>
    <w:rsid w:val="00350C8D"/>
    <w:rsid w:val="0035222F"/>
    <w:rsid w:val="00352C77"/>
    <w:rsid w:val="00353697"/>
    <w:rsid w:val="00353AE8"/>
    <w:rsid w:val="003545A4"/>
    <w:rsid w:val="003550D4"/>
    <w:rsid w:val="00355395"/>
    <w:rsid w:val="00355E16"/>
    <w:rsid w:val="00355F95"/>
    <w:rsid w:val="00356619"/>
    <w:rsid w:val="00356AFF"/>
    <w:rsid w:val="00356B2D"/>
    <w:rsid w:val="0035741A"/>
    <w:rsid w:val="00357D1C"/>
    <w:rsid w:val="00357E35"/>
    <w:rsid w:val="00357F6B"/>
    <w:rsid w:val="003600D1"/>
    <w:rsid w:val="00360189"/>
    <w:rsid w:val="00360584"/>
    <w:rsid w:val="003605E1"/>
    <w:rsid w:val="003605E9"/>
    <w:rsid w:val="0036172E"/>
    <w:rsid w:val="00361CA2"/>
    <w:rsid w:val="00361D5C"/>
    <w:rsid w:val="00361DB1"/>
    <w:rsid w:val="00361DCE"/>
    <w:rsid w:val="00362377"/>
    <w:rsid w:val="003625F7"/>
    <w:rsid w:val="00362658"/>
    <w:rsid w:val="00363201"/>
    <w:rsid w:val="003635CF"/>
    <w:rsid w:val="003635E5"/>
    <w:rsid w:val="00363DFB"/>
    <w:rsid w:val="0036477B"/>
    <w:rsid w:val="00364DF2"/>
    <w:rsid w:val="003650E2"/>
    <w:rsid w:val="00366201"/>
    <w:rsid w:val="003668B1"/>
    <w:rsid w:val="00366A27"/>
    <w:rsid w:val="00366D3C"/>
    <w:rsid w:val="003671B1"/>
    <w:rsid w:val="00367577"/>
    <w:rsid w:val="0037027B"/>
    <w:rsid w:val="0037092B"/>
    <w:rsid w:val="003714C2"/>
    <w:rsid w:val="0037160A"/>
    <w:rsid w:val="00372359"/>
    <w:rsid w:val="003725B5"/>
    <w:rsid w:val="00372EFA"/>
    <w:rsid w:val="00372F8A"/>
    <w:rsid w:val="003738BC"/>
    <w:rsid w:val="00373C56"/>
    <w:rsid w:val="0037428D"/>
    <w:rsid w:val="00374482"/>
    <w:rsid w:val="003745B9"/>
    <w:rsid w:val="00374764"/>
    <w:rsid w:val="00374779"/>
    <w:rsid w:val="00375D5A"/>
    <w:rsid w:val="00376EA6"/>
    <w:rsid w:val="00377595"/>
    <w:rsid w:val="0037789F"/>
    <w:rsid w:val="00377D0B"/>
    <w:rsid w:val="00377FCF"/>
    <w:rsid w:val="0038004E"/>
    <w:rsid w:val="003801C4"/>
    <w:rsid w:val="003802FB"/>
    <w:rsid w:val="0038047D"/>
    <w:rsid w:val="003805D5"/>
    <w:rsid w:val="0038175F"/>
    <w:rsid w:val="003817F4"/>
    <w:rsid w:val="003821B5"/>
    <w:rsid w:val="0038267A"/>
    <w:rsid w:val="003827D6"/>
    <w:rsid w:val="0038280C"/>
    <w:rsid w:val="0038315E"/>
    <w:rsid w:val="00383A79"/>
    <w:rsid w:val="00383AB6"/>
    <w:rsid w:val="00383C2D"/>
    <w:rsid w:val="00383DB0"/>
    <w:rsid w:val="00384E4E"/>
    <w:rsid w:val="003867F5"/>
    <w:rsid w:val="00386EC3"/>
    <w:rsid w:val="00387850"/>
    <w:rsid w:val="00387A56"/>
    <w:rsid w:val="00390D37"/>
    <w:rsid w:val="00390E80"/>
    <w:rsid w:val="00391424"/>
    <w:rsid w:val="0039157E"/>
    <w:rsid w:val="00391894"/>
    <w:rsid w:val="00391B57"/>
    <w:rsid w:val="003921BF"/>
    <w:rsid w:val="00392207"/>
    <w:rsid w:val="00392A58"/>
    <w:rsid w:val="00392BAA"/>
    <w:rsid w:val="00393AB4"/>
    <w:rsid w:val="003943DF"/>
    <w:rsid w:val="003949E5"/>
    <w:rsid w:val="00394E49"/>
    <w:rsid w:val="00395368"/>
    <w:rsid w:val="00396D3F"/>
    <w:rsid w:val="00396D92"/>
    <w:rsid w:val="00397CFE"/>
    <w:rsid w:val="00397E8F"/>
    <w:rsid w:val="003A0EA6"/>
    <w:rsid w:val="003A1157"/>
    <w:rsid w:val="003A1F2A"/>
    <w:rsid w:val="003A2805"/>
    <w:rsid w:val="003A33FC"/>
    <w:rsid w:val="003A3AA3"/>
    <w:rsid w:val="003A3F99"/>
    <w:rsid w:val="003A49A6"/>
    <w:rsid w:val="003A5C4A"/>
    <w:rsid w:val="003A5F3E"/>
    <w:rsid w:val="003A6814"/>
    <w:rsid w:val="003A6AEE"/>
    <w:rsid w:val="003A6C14"/>
    <w:rsid w:val="003A6E34"/>
    <w:rsid w:val="003A702C"/>
    <w:rsid w:val="003A7251"/>
    <w:rsid w:val="003A74CF"/>
    <w:rsid w:val="003A769A"/>
    <w:rsid w:val="003A7961"/>
    <w:rsid w:val="003B022C"/>
    <w:rsid w:val="003B0273"/>
    <w:rsid w:val="003B05DC"/>
    <w:rsid w:val="003B0E0D"/>
    <w:rsid w:val="003B1FE3"/>
    <w:rsid w:val="003B251F"/>
    <w:rsid w:val="003B2820"/>
    <w:rsid w:val="003B29EF"/>
    <w:rsid w:val="003B2A62"/>
    <w:rsid w:val="003B2B5E"/>
    <w:rsid w:val="003B313C"/>
    <w:rsid w:val="003B32D4"/>
    <w:rsid w:val="003B3F2C"/>
    <w:rsid w:val="003B45CA"/>
    <w:rsid w:val="003B554C"/>
    <w:rsid w:val="003B5C00"/>
    <w:rsid w:val="003B5DE7"/>
    <w:rsid w:val="003B608D"/>
    <w:rsid w:val="003B6A06"/>
    <w:rsid w:val="003B7A69"/>
    <w:rsid w:val="003B7D4C"/>
    <w:rsid w:val="003C0AAA"/>
    <w:rsid w:val="003C0B9B"/>
    <w:rsid w:val="003C0DCD"/>
    <w:rsid w:val="003C12D8"/>
    <w:rsid w:val="003C1510"/>
    <w:rsid w:val="003C341E"/>
    <w:rsid w:val="003C3435"/>
    <w:rsid w:val="003C57BD"/>
    <w:rsid w:val="003C6EA1"/>
    <w:rsid w:val="003D0234"/>
    <w:rsid w:val="003D02FA"/>
    <w:rsid w:val="003D0E3C"/>
    <w:rsid w:val="003D0FD1"/>
    <w:rsid w:val="003D125C"/>
    <w:rsid w:val="003D152D"/>
    <w:rsid w:val="003D1A40"/>
    <w:rsid w:val="003D1C5B"/>
    <w:rsid w:val="003D3210"/>
    <w:rsid w:val="003D32F0"/>
    <w:rsid w:val="003D3C2E"/>
    <w:rsid w:val="003D4C7A"/>
    <w:rsid w:val="003D4CDB"/>
    <w:rsid w:val="003D4D1E"/>
    <w:rsid w:val="003D5300"/>
    <w:rsid w:val="003D5692"/>
    <w:rsid w:val="003D625B"/>
    <w:rsid w:val="003D6532"/>
    <w:rsid w:val="003D6B79"/>
    <w:rsid w:val="003D7A76"/>
    <w:rsid w:val="003E0008"/>
    <w:rsid w:val="003E0338"/>
    <w:rsid w:val="003E0698"/>
    <w:rsid w:val="003E07F6"/>
    <w:rsid w:val="003E0B25"/>
    <w:rsid w:val="003E1083"/>
    <w:rsid w:val="003E16DB"/>
    <w:rsid w:val="003E24BF"/>
    <w:rsid w:val="003E566A"/>
    <w:rsid w:val="003E5913"/>
    <w:rsid w:val="003E5976"/>
    <w:rsid w:val="003E597E"/>
    <w:rsid w:val="003E644E"/>
    <w:rsid w:val="003E7B4F"/>
    <w:rsid w:val="003F0506"/>
    <w:rsid w:val="003F0637"/>
    <w:rsid w:val="003F104A"/>
    <w:rsid w:val="003F1CAF"/>
    <w:rsid w:val="003F263E"/>
    <w:rsid w:val="003F267B"/>
    <w:rsid w:val="003F27E0"/>
    <w:rsid w:val="003F2D14"/>
    <w:rsid w:val="003F31D5"/>
    <w:rsid w:val="003F3306"/>
    <w:rsid w:val="003F3CC4"/>
    <w:rsid w:val="003F3D93"/>
    <w:rsid w:val="003F44F8"/>
    <w:rsid w:val="003F4977"/>
    <w:rsid w:val="003F5334"/>
    <w:rsid w:val="003F5659"/>
    <w:rsid w:val="003F5F80"/>
    <w:rsid w:val="003F627C"/>
    <w:rsid w:val="003F6C9E"/>
    <w:rsid w:val="003F7AAB"/>
    <w:rsid w:val="003F7B6A"/>
    <w:rsid w:val="00400466"/>
    <w:rsid w:val="00400A11"/>
    <w:rsid w:val="00400B82"/>
    <w:rsid w:val="00400E14"/>
    <w:rsid w:val="0040278C"/>
    <w:rsid w:val="00402EA7"/>
    <w:rsid w:val="00403AD0"/>
    <w:rsid w:val="00403ED7"/>
    <w:rsid w:val="00403F78"/>
    <w:rsid w:val="004044C2"/>
    <w:rsid w:val="00404BB5"/>
    <w:rsid w:val="004052C4"/>
    <w:rsid w:val="00405EF4"/>
    <w:rsid w:val="00406817"/>
    <w:rsid w:val="0040686A"/>
    <w:rsid w:val="00407A9D"/>
    <w:rsid w:val="00407BB8"/>
    <w:rsid w:val="00410AB4"/>
    <w:rsid w:val="00410EF2"/>
    <w:rsid w:val="0041128B"/>
    <w:rsid w:val="004119D9"/>
    <w:rsid w:val="00411DFF"/>
    <w:rsid w:val="00411EE3"/>
    <w:rsid w:val="004122D3"/>
    <w:rsid w:val="00412DD7"/>
    <w:rsid w:val="0041396D"/>
    <w:rsid w:val="00413E1F"/>
    <w:rsid w:val="00413F3E"/>
    <w:rsid w:val="00413F4E"/>
    <w:rsid w:val="00414878"/>
    <w:rsid w:val="00414DC4"/>
    <w:rsid w:val="00415019"/>
    <w:rsid w:val="0041555C"/>
    <w:rsid w:val="004155A8"/>
    <w:rsid w:val="0041576A"/>
    <w:rsid w:val="0041589D"/>
    <w:rsid w:val="004158C5"/>
    <w:rsid w:val="00415C89"/>
    <w:rsid w:val="00416351"/>
    <w:rsid w:val="00416455"/>
    <w:rsid w:val="004165E2"/>
    <w:rsid w:val="00416D9D"/>
    <w:rsid w:val="00417051"/>
    <w:rsid w:val="00417D46"/>
    <w:rsid w:val="00420887"/>
    <w:rsid w:val="00420AD0"/>
    <w:rsid w:val="00421124"/>
    <w:rsid w:val="00422243"/>
    <w:rsid w:val="004225FF"/>
    <w:rsid w:val="00422D23"/>
    <w:rsid w:val="00423379"/>
    <w:rsid w:val="004238C8"/>
    <w:rsid w:val="0042427C"/>
    <w:rsid w:val="00424AEB"/>
    <w:rsid w:val="00424D16"/>
    <w:rsid w:val="004256D5"/>
    <w:rsid w:val="004262F1"/>
    <w:rsid w:val="00426797"/>
    <w:rsid w:val="00426A1A"/>
    <w:rsid w:val="00427027"/>
    <w:rsid w:val="00427130"/>
    <w:rsid w:val="004272A7"/>
    <w:rsid w:val="004274C5"/>
    <w:rsid w:val="00427ABD"/>
    <w:rsid w:val="00427C99"/>
    <w:rsid w:val="00427D10"/>
    <w:rsid w:val="00430A20"/>
    <w:rsid w:val="00430BC1"/>
    <w:rsid w:val="00431188"/>
    <w:rsid w:val="00431231"/>
    <w:rsid w:val="004322E5"/>
    <w:rsid w:val="0043250C"/>
    <w:rsid w:val="00432558"/>
    <w:rsid w:val="004325DE"/>
    <w:rsid w:val="0043297A"/>
    <w:rsid w:val="00432F96"/>
    <w:rsid w:val="004332C0"/>
    <w:rsid w:val="00433A57"/>
    <w:rsid w:val="0043405B"/>
    <w:rsid w:val="004350E3"/>
    <w:rsid w:val="00435F9F"/>
    <w:rsid w:val="004379A0"/>
    <w:rsid w:val="0044035E"/>
    <w:rsid w:val="00440A21"/>
    <w:rsid w:val="00441506"/>
    <w:rsid w:val="00441A4B"/>
    <w:rsid w:val="004426AD"/>
    <w:rsid w:val="00442811"/>
    <w:rsid w:val="004434A3"/>
    <w:rsid w:val="0044370C"/>
    <w:rsid w:val="0044383B"/>
    <w:rsid w:val="00443A24"/>
    <w:rsid w:val="004463E7"/>
    <w:rsid w:val="0044651A"/>
    <w:rsid w:val="00450204"/>
    <w:rsid w:val="004503F9"/>
    <w:rsid w:val="004506C1"/>
    <w:rsid w:val="004523D1"/>
    <w:rsid w:val="00452C46"/>
    <w:rsid w:val="00452E30"/>
    <w:rsid w:val="00453EBC"/>
    <w:rsid w:val="004557F0"/>
    <w:rsid w:val="00455A35"/>
    <w:rsid w:val="004561DB"/>
    <w:rsid w:val="004563C1"/>
    <w:rsid w:val="00456CBA"/>
    <w:rsid w:val="00456FD0"/>
    <w:rsid w:val="004575B0"/>
    <w:rsid w:val="00457AE6"/>
    <w:rsid w:val="00457EFE"/>
    <w:rsid w:val="00460709"/>
    <w:rsid w:val="00460F57"/>
    <w:rsid w:val="004611EE"/>
    <w:rsid w:val="00461FBF"/>
    <w:rsid w:val="0046233B"/>
    <w:rsid w:val="0046250E"/>
    <w:rsid w:val="00462FFB"/>
    <w:rsid w:val="004639DD"/>
    <w:rsid w:val="00463F5A"/>
    <w:rsid w:val="00464126"/>
    <w:rsid w:val="0046565B"/>
    <w:rsid w:val="004658D9"/>
    <w:rsid w:val="00465D97"/>
    <w:rsid w:val="00467E70"/>
    <w:rsid w:val="0047076E"/>
    <w:rsid w:val="004716E1"/>
    <w:rsid w:val="00471EBE"/>
    <w:rsid w:val="004725D0"/>
    <w:rsid w:val="00472861"/>
    <w:rsid w:val="00473545"/>
    <w:rsid w:val="00473ECB"/>
    <w:rsid w:val="00474B88"/>
    <w:rsid w:val="00474D2E"/>
    <w:rsid w:val="00475AEC"/>
    <w:rsid w:val="0047689A"/>
    <w:rsid w:val="004768D3"/>
    <w:rsid w:val="00476BD5"/>
    <w:rsid w:val="00477C2B"/>
    <w:rsid w:val="00477DDE"/>
    <w:rsid w:val="00477E3B"/>
    <w:rsid w:val="00477F69"/>
    <w:rsid w:val="004800BF"/>
    <w:rsid w:val="0048076B"/>
    <w:rsid w:val="00480B95"/>
    <w:rsid w:val="00481C75"/>
    <w:rsid w:val="0048210B"/>
    <w:rsid w:val="004827C2"/>
    <w:rsid w:val="00483465"/>
    <w:rsid w:val="0048372A"/>
    <w:rsid w:val="00483B8F"/>
    <w:rsid w:val="00484AF8"/>
    <w:rsid w:val="00484DF4"/>
    <w:rsid w:val="00484E10"/>
    <w:rsid w:val="00485504"/>
    <w:rsid w:val="0048574F"/>
    <w:rsid w:val="00485C36"/>
    <w:rsid w:val="00486489"/>
    <w:rsid w:val="0048673F"/>
    <w:rsid w:val="00486DE6"/>
    <w:rsid w:val="00487F6E"/>
    <w:rsid w:val="00490498"/>
    <w:rsid w:val="004922CC"/>
    <w:rsid w:val="00492DFE"/>
    <w:rsid w:val="00493CF0"/>
    <w:rsid w:val="00494672"/>
    <w:rsid w:val="00494E66"/>
    <w:rsid w:val="004951C8"/>
    <w:rsid w:val="004953EE"/>
    <w:rsid w:val="00495F95"/>
    <w:rsid w:val="00497874"/>
    <w:rsid w:val="00497CF5"/>
    <w:rsid w:val="004A03DC"/>
    <w:rsid w:val="004A0725"/>
    <w:rsid w:val="004A0BB1"/>
    <w:rsid w:val="004A1385"/>
    <w:rsid w:val="004A17C7"/>
    <w:rsid w:val="004A1905"/>
    <w:rsid w:val="004A2561"/>
    <w:rsid w:val="004A27D6"/>
    <w:rsid w:val="004A2973"/>
    <w:rsid w:val="004A3842"/>
    <w:rsid w:val="004A454F"/>
    <w:rsid w:val="004A4632"/>
    <w:rsid w:val="004A483F"/>
    <w:rsid w:val="004A4FF1"/>
    <w:rsid w:val="004A58F3"/>
    <w:rsid w:val="004A5946"/>
    <w:rsid w:val="004A620E"/>
    <w:rsid w:val="004A64FD"/>
    <w:rsid w:val="004A651F"/>
    <w:rsid w:val="004A69A6"/>
    <w:rsid w:val="004A7791"/>
    <w:rsid w:val="004B05EE"/>
    <w:rsid w:val="004B1A96"/>
    <w:rsid w:val="004B1FDE"/>
    <w:rsid w:val="004B2421"/>
    <w:rsid w:val="004B26FE"/>
    <w:rsid w:val="004B2AA6"/>
    <w:rsid w:val="004B30B2"/>
    <w:rsid w:val="004B30E1"/>
    <w:rsid w:val="004B3FAA"/>
    <w:rsid w:val="004B4B9F"/>
    <w:rsid w:val="004B55FF"/>
    <w:rsid w:val="004B5891"/>
    <w:rsid w:val="004B59C3"/>
    <w:rsid w:val="004B5B04"/>
    <w:rsid w:val="004B645E"/>
    <w:rsid w:val="004B6941"/>
    <w:rsid w:val="004B6995"/>
    <w:rsid w:val="004B69B4"/>
    <w:rsid w:val="004B775D"/>
    <w:rsid w:val="004B7DED"/>
    <w:rsid w:val="004C00E7"/>
    <w:rsid w:val="004C0156"/>
    <w:rsid w:val="004C01CD"/>
    <w:rsid w:val="004C0C25"/>
    <w:rsid w:val="004C13E5"/>
    <w:rsid w:val="004C18F6"/>
    <w:rsid w:val="004C1B49"/>
    <w:rsid w:val="004C2008"/>
    <w:rsid w:val="004C230A"/>
    <w:rsid w:val="004C24BF"/>
    <w:rsid w:val="004C2E04"/>
    <w:rsid w:val="004C2E2B"/>
    <w:rsid w:val="004C2F41"/>
    <w:rsid w:val="004C3870"/>
    <w:rsid w:val="004C3898"/>
    <w:rsid w:val="004C3BEE"/>
    <w:rsid w:val="004C4501"/>
    <w:rsid w:val="004C48E2"/>
    <w:rsid w:val="004C4EE4"/>
    <w:rsid w:val="004C51AE"/>
    <w:rsid w:val="004C6DD7"/>
    <w:rsid w:val="004D006A"/>
    <w:rsid w:val="004D062E"/>
    <w:rsid w:val="004D096F"/>
    <w:rsid w:val="004D1106"/>
    <w:rsid w:val="004D1213"/>
    <w:rsid w:val="004D22DD"/>
    <w:rsid w:val="004D25F2"/>
    <w:rsid w:val="004D2E63"/>
    <w:rsid w:val="004D2FD3"/>
    <w:rsid w:val="004D2FFB"/>
    <w:rsid w:val="004D3A6F"/>
    <w:rsid w:val="004D40FF"/>
    <w:rsid w:val="004D5C77"/>
    <w:rsid w:val="004D6166"/>
    <w:rsid w:val="004D62C9"/>
    <w:rsid w:val="004D68AD"/>
    <w:rsid w:val="004D6924"/>
    <w:rsid w:val="004D6AD7"/>
    <w:rsid w:val="004D6E92"/>
    <w:rsid w:val="004D714D"/>
    <w:rsid w:val="004D7429"/>
    <w:rsid w:val="004D7A53"/>
    <w:rsid w:val="004D7ED4"/>
    <w:rsid w:val="004E036F"/>
    <w:rsid w:val="004E093E"/>
    <w:rsid w:val="004E1467"/>
    <w:rsid w:val="004E237E"/>
    <w:rsid w:val="004E2810"/>
    <w:rsid w:val="004E2C5A"/>
    <w:rsid w:val="004E2D8B"/>
    <w:rsid w:val="004E30F4"/>
    <w:rsid w:val="004E3253"/>
    <w:rsid w:val="004E32CD"/>
    <w:rsid w:val="004E3862"/>
    <w:rsid w:val="004E39CE"/>
    <w:rsid w:val="004E460A"/>
    <w:rsid w:val="004E4AAC"/>
    <w:rsid w:val="004E4F4C"/>
    <w:rsid w:val="004E519B"/>
    <w:rsid w:val="004E6BF6"/>
    <w:rsid w:val="004E6D16"/>
    <w:rsid w:val="004E6FDB"/>
    <w:rsid w:val="004E7950"/>
    <w:rsid w:val="004E79F6"/>
    <w:rsid w:val="004E7F3F"/>
    <w:rsid w:val="004F040A"/>
    <w:rsid w:val="004F055A"/>
    <w:rsid w:val="004F078D"/>
    <w:rsid w:val="004F0A47"/>
    <w:rsid w:val="004F118C"/>
    <w:rsid w:val="004F1950"/>
    <w:rsid w:val="004F1D67"/>
    <w:rsid w:val="004F2267"/>
    <w:rsid w:val="004F2D2F"/>
    <w:rsid w:val="004F34E1"/>
    <w:rsid w:val="004F3868"/>
    <w:rsid w:val="004F4EC9"/>
    <w:rsid w:val="004F5E77"/>
    <w:rsid w:val="004F6612"/>
    <w:rsid w:val="004F6756"/>
    <w:rsid w:val="004F6789"/>
    <w:rsid w:val="004F68B7"/>
    <w:rsid w:val="004F7195"/>
    <w:rsid w:val="00500D85"/>
    <w:rsid w:val="00500E3C"/>
    <w:rsid w:val="00501680"/>
    <w:rsid w:val="005017F2"/>
    <w:rsid w:val="005019BB"/>
    <w:rsid w:val="00502359"/>
    <w:rsid w:val="00502823"/>
    <w:rsid w:val="00503519"/>
    <w:rsid w:val="00503A22"/>
    <w:rsid w:val="00504B0F"/>
    <w:rsid w:val="00504B7E"/>
    <w:rsid w:val="00505527"/>
    <w:rsid w:val="0050562F"/>
    <w:rsid w:val="005067A4"/>
    <w:rsid w:val="005111B8"/>
    <w:rsid w:val="005119C7"/>
    <w:rsid w:val="00511B7E"/>
    <w:rsid w:val="00512762"/>
    <w:rsid w:val="0051378B"/>
    <w:rsid w:val="00513827"/>
    <w:rsid w:val="00513BB4"/>
    <w:rsid w:val="00513C6B"/>
    <w:rsid w:val="00515A51"/>
    <w:rsid w:val="00517560"/>
    <w:rsid w:val="005206A5"/>
    <w:rsid w:val="00520EC2"/>
    <w:rsid w:val="00521C6B"/>
    <w:rsid w:val="00521C83"/>
    <w:rsid w:val="00522DD8"/>
    <w:rsid w:val="005233A0"/>
    <w:rsid w:val="00523725"/>
    <w:rsid w:val="00523F58"/>
    <w:rsid w:val="00525762"/>
    <w:rsid w:val="00525E52"/>
    <w:rsid w:val="00525EF4"/>
    <w:rsid w:val="00526FE2"/>
    <w:rsid w:val="00527114"/>
    <w:rsid w:val="00530E56"/>
    <w:rsid w:val="0053133D"/>
    <w:rsid w:val="00531AB9"/>
    <w:rsid w:val="00531C5C"/>
    <w:rsid w:val="00531DE6"/>
    <w:rsid w:val="00532526"/>
    <w:rsid w:val="005327F0"/>
    <w:rsid w:val="00532D4A"/>
    <w:rsid w:val="00532DA3"/>
    <w:rsid w:val="00532E56"/>
    <w:rsid w:val="0053316A"/>
    <w:rsid w:val="0053374A"/>
    <w:rsid w:val="00533B85"/>
    <w:rsid w:val="00533CD0"/>
    <w:rsid w:val="00535577"/>
    <w:rsid w:val="00535653"/>
    <w:rsid w:val="00535C19"/>
    <w:rsid w:val="0053611B"/>
    <w:rsid w:val="005364B9"/>
    <w:rsid w:val="00536D0C"/>
    <w:rsid w:val="00537714"/>
    <w:rsid w:val="00537DEA"/>
    <w:rsid w:val="005400AD"/>
    <w:rsid w:val="0054093D"/>
    <w:rsid w:val="00542A71"/>
    <w:rsid w:val="00542C61"/>
    <w:rsid w:val="00544626"/>
    <w:rsid w:val="0054508E"/>
    <w:rsid w:val="005450AE"/>
    <w:rsid w:val="005453AD"/>
    <w:rsid w:val="005456EC"/>
    <w:rsid w:val="00545A8A"/>
    <w:rsid w:val="005467A5"/>
    <w:rsid w:val="005471CC"/>
    <w:rsid w:val="00550F8F"/>
    <w:rsid w:val="005512F7"/>
    <w:rsid w:val="00551412"/>
    <w:rsid w:val="005515E4"/>
    <w:rsid w:val="00551894"/>
    <w:rsid w:val="00551CCD"/>
    <w:rsid w:val="00552CBD"/>
    <w:rsid w:val="0055335E"/>
    <w:rsid w:val="00553A9A"/>
    <w:rsid w:val="0055502B"/>
    <w:rsid w:val="00555877"/>
    <w:rsid w:val="005559D8"/>
    <w:rsid w:val="00555B9B"/>
    <w:rsid w:val="005569F2"/>
    <w:rsid w:val="0055730E"/>
    <w:rsid w:val="00557ADD"/>
    <w:rsid w:val="00557D14"/>
    <w:rsid w:val="005601FD"/>
    <w:rsid w:val="0056032D"/>
    <w:rsid w:val="005610EE"/>
    <w:rsid w:val="00561EA2"/>
    <w:rsid w:val="005620A6"/>
    <w:rsid w:val="00563423"/>
    <w:rsid w:val="00563B4E"/>
    <w:rsid w:val="005641E5"/>
    <w:rsid w:val="00565EB4"/>
    <w:rsid w:val="00565F1F"/>
    <w:rsid w:val="005666D4"/>
    <w:rsid w:val="00566FB6"/>
    <w:rsid w:val="005670AD"/>
    <w:rsid w:val="00567977"/>
    <w:rsid w:val="00567E16"/>
    <w:rsid w:val="0057023A"/>
    <w:rsid w:val="005703BA"/>
    <w:rsid w:val="00571705"/>
    <w:rsid w:val="00571BC2"/>
    <w:rsid w:val="00571D13"/>
    <w:rsid w:val="00571F8B"/>
    <w:rsid w:val="00572223"/>
    <w:rsid w:val="00572397"/>
    <w:rsid w:val="005725F7"/>
    <w:rsid w:val="005733EB"/>
    <w:rsid w:val="0057362C"/>
    <w:rsid w:val="00574663"/>
    <w:rsid w:val="00575387"/>
    <w:rsid w:val="0057595A"/>
    <w:rsid w:val="00576CF4"/>
    <w:rsid w:val="00577129"/>
    <w:rsid w:val="005807A9"/>
    <w:rsid w:val="00581038"/>
    <w:rsid w:val="00582369"/>
    <w:rsid w:val="00582865"/>
    <w:rsid w:val="00582ECC"/>
    <w:rsid w:val="00582F9C"/>
    <w:rsid w:val="00583562"/>
    <w:rsid w:val="00583E04"/>
    <w:rsid w:val="005841AC"/>
    <w:rsid w:val="00584515"/>
    <w:rsid w:val="00584EBE"/>
    <w:rsid w:val="0058547A"/>
    <w:rsid w:val="0058647D"/>
    <w:rsid w:val="005867B2"/>
    <w:rsid w:val="00586AA3"/>
    <w:rsid w:val="00586B50"/>
    <w:rsid w:val="00590971"/>
    <w:rsid w:val="00591121"/>
    <w:rsid w:val="005912BF"/>
    <w:rsid w:val="005920CC"/>
    <w:rsid w:val="00592F71"/>
    <w:rsid w:val="00593811"/>
    <w:rsid w:val="00593A28"/>
    <w:rsid w:val="00593D37"/>
    <w:rsid w:val="00594219"/>
    <w:rsid w:val="0059493B"/>
    <w:rsid w:val="0059526E"/>
    <w:rsid w:val="005956A5"/>
    <w:rsid w:val="005956F6"/>
    <w:rsid w:val="005968C4"/>
    <w:rsid w:val="00596A69"/>
    <w:rsid w:val="00596F52"/>
    <w:rsid w:val="0059774D"/>
    <w:rsid w:val="00597C77"/>
    <w:rsid w:val="005A13D3"/>
    <w:rsid w:val="005A1623"/>
    <w:rsid w:val="005A1A1E"/>
    <w:rsid w:val="005A1C48"/>
    <w:rsid w:val="005A1CB6"/>
    <w:rsid w:val="005A29FC"/>
    <w:rsid w:val="005A3475"/>
    <w:rsid w:val="005A3A09"/>
    <w:rsid w:val="005A4DDC"/>
    <w:rsid w:val="005A5220"/>
    <w:rsid w:val="005A57AC"/>
    <w:rsid w:val="005A5AA4"/>
    <w:rsid w:val="005A64D2"/>
    <w:rsid w:val="005A6501"/>
    <w:rsid w:val="005A6669"/>
    <w:rsid w:val="005A6813"/>
    <w:rsid w:val="005A6CA1"/>
    <w:rsid w:val="005A7F74"/>
    <w:rsid w:val="005B085D"/>
    <w:rsid w:val="005B0B3B"/>
    <w:rsid w:val="005B0B41"/>
    <w:rsid w:val="005B105D"/>
    <w:rsid w:val="005B12CB"/>
    <w:rsid w:val="005B1444"/>
    <w:rsid w:val="005B1D8A"/>
    <w:rsid w:val="005B2B7A"/>
    <w:rsid w:val="005B3747"/>
    <w:rsid w:val="005B3E85"/>
    <w:rsid w:val="005B4417"/>
    <w:rsid w:val="005B4526"/>
    <w:rsid w:val="005B579D"/>
    <w:rsid w:val="005B5D41"/>
    <w:rsid w:val="005B6337"/>
    <w:rsid w:val="005B649A"/>
    <w:rsid w:val="005B6BBE"/>
    <w:rsid w:val="005B71C6"/>
    <w:rsid w:val="005B77BD"/>
    <w:rsid w:val="005C1179"/>
    <w:rsid w:val="005C1AF2"/>
    <w:rsid w:val="005C1E31"/>
    <w:rsid w:val="005C1E76"/>
    <w:rsid w:val="005C2663"/>
    <w:rsid w:val="005C2A3D"/>
    <w:rsid w:val="005C2D18"/>
    <w:rsid w:val="005C30AF"/>
    <w:rsid w:val="005C3416"/>
    <w:rsid w:val="005C3A08"/>
    <w:rsid w:val="005C3F6C"/>
    <w:rsid w:val="005C42D2"/>
    <w:rsid w:val="005C50E2"/>
    <w:rsid w:val="005C5E1D"/>
    <w:rsid w:val="005C6988"/>
    <w:rsid w:val="005C75CE"/>
    <w:rsid w:val="005C76CE"/>
    <w:rsid w:val="005C7843"/>
    <w:rsid w:val="005D038F"/>
    <w:rsid w:val="005D1177"/>
    <w:rsid w:val="005D16B6"/>
    <w:rsid w:val="005D1B75"/>
    <w:rsid w:val="005D2558"/>
    <w:rsid w:val="005D2EBA"/>
    <w:rsid w:val="005D3DD8"/>
    <w:rsid w:val="005D458E"/>
    <w:rsid w:val="005D4B1B"/>
    <w:rsid w:val="005D4D9A"/>
    <w:rsid w:val="005D5984"/>
    <w:rsid w:val="005D60ED"/>
    <w:rsid w:val="005D6294"/>
    <w:rsid w:val="005D661F"/>
    <w:rsid w:val="005D66C6"/>
    <w:rsid w:val="005D7AAA"/>
    <w:rsid w:val="005D7B65"/>
    <w:rsid w:val="005D7DD0"/>
    <w:rsid w:val="005D7FCC"/>
    <w:rsid w:val="005E0E6A"/>
    <w:rsid w:val="005E19FC"/>
    <w:rsid w:val="005E1AE8"/>
    <w:rsid w:val="005E1F0B"/>
    <w:rsid w:val="005E359A"/>
    <w:rsid w:val="005E38B6"/>
    <w:rsid w:val="005E440B"/>
    <w:rsid w:val="005E46F9"/>
    <w:rsid w:val="005E4E21"/>
    <w:rsid w:val="005E5214"/>
    <w:rsid w:val="005E5FC3"/>
    <w:rsid w:val="005E6F5D"/>
    <w:rsid w:val="005E78A5"/>
    <w:rsid w:val="005E794D"/>
    <w:rsid w:val="005E7B02"/>
    <w:rsid w:val="005E7D28"/>
    <w:rsid w:val="005F1051"/>
    <w:rsid w:val="005F1550"/>
    <w:rsid w:val="005F1D1A"/>
    <w:rsid w:val="005F2234"/>
    <w:rsid w:val="005F242F"/>
    <w:rsid w:val="005F2A33"/>
    <w:rsid w:val="005F2A82"/>
    <w:rsid w:val="005F2C18"/>
    <w:rsid w:val="005F2D1B"/>
    <w:rsid w:val="005F354C"/>
    <w:rsid w:val="005F3EC9"/>
    <w:rsid w:val="005F3F8F"/>
    <w:rsid w:val="005F4237"/>
    <w:rsid w:val="005F4AD7"/>
    <w:rsid w:val="005F53F9"/>
    <w:rsid w:val="005F5635"/>
    <w:rsid w:val="005F5DBB"/>
    <w:rsid w:val="005F6D09"/>
    <w:rsid w:val="005F714A"/>
    <w:rsid w:val="00600807"/>
    <w:rsid w:val="00601099"/>
    <w:rsid w:val="006012DC"/>
    <w:rsid w:val="00601ECA"/>
    <w:rsid w:val="00602227"/>
    <w:rsid w:val="006023CC"/>
    <w:rsid w:val="0060671C"/>
    <w:rsid w:val="006067D7"/>
    <w:rsid w:val="00606BF0"/>
    <w:rsid w:val="00606CF2"/>
    <w:rsid w:val="00607079"/>
    <w:rsid w:val="00607165"/>
    <w:rsid w:val="006100B2"/>
    <w:rsid w:val="00610101"/>
    <w:rsid w:val="0061152E"/>
    <w:rsid w:val="00611A3D"/>
    <w:rsid w:val="00611C1B"/>
    <w:rsid w:val="00611D23"/>
    <w:rsid w:val="006124BD"/>
    <w:rsid w:val="00612F1A"/>
    <w:rsid w:val="0061335F"/>
    <w:rsid w:val="006133AA"/>
    <w:rsid w:val="00614D07"/>
    <w:rsid w:val="00615006"/>
    <w:rsid w:val="00615E50"/>
    <w:rsid w:val="00616418"/>
    <w:rsid w:val="006169D5"/>
    <w:rsid w:val="00616BA0"/>
    <w:rsid w:val="006172F0"/>
    <w:rsid w:val="006201EF"/>
    <w:rsid w:val="0062022F"/>
    <w:rsid w:val="0062031B"/>
    <w:rsid w:val="00620C44"/>
    <w:rsid w:val="00621001"/>
    <w:rsid w:val="00621164"/>
    <w:rsid w:val="006211D4"/>
    <w:rsid w:val="00621B0C"/>
    <w:rsid w:val="00622B32"/>
    <w:rsid w:val="00622BB2"/>
    <w:rsid w:val="00622E3A"/>
    <w:rsid w:val="00622EE2"/>
    <w:rsid w:val="00623208"/>
    <w:rsid w:val="0062327B"/>
    <w:rsid w:val="00623C01"/>
    <w:rsid w:val="00623CA8"/>
    <w:rsid w:val="006249A2"/>
    <w:rsid w:val="0062548B"/>
    <w:rsid w:val="00625884"/>
    <w:rsid w:val="006260A5"/>
    <w:rsid w:val="00626138"/>
    <w:rsid w:val="0062667E"/>
    <w:rsid w:val="0062672F"/>
    <w:rsid w:val="00626E9D"/>
    <w:rsid w:val="0062738C"/>
    <w:rsid w:val="006274A7"/>
    <w:rsid w:val="00627887"/>
    <w:rsid w:val="00627BD1"/>
    <w:rsid w:val="0063059E"/>
    <w:rsid w:val="00630BD2"/>
    <w:rsid w:val="006321E9"/>
    <w:rsid w:val="00633240"/>
    <w:rsid w:val="00633507"/>
    <w:rsid w:val="0063388F"/>
    <w:rsid w:val="0063402B"/>
    <w:rsid w:val="00634277"/>
    <w:rsid w:val="00635E23"/>
    <w:rsid w:val="00635FAD"/>
    <w:rsid w:val="006366A1"/>
    <w:rsid w:val="00637205"/>
    <w:rsid w:val="00637531"/>
    <w:rsid w:val="00637B50"/>
    <w:rsid w:val="00640987"/>
    <w:rsid w:val="00640C87"/>
    <w:rsid w:val="0064164D"/>
    <w:rsid w:val="0064164F"/>
    <w:rsid w:val="00642395"/>
    <w:rsid w:val="006438A6"/>
    <w:rsid w:val="0064421A"/>
    <w:rsid w:val="0064474F"/>
    <w:rsid w:val="0064475E"/>
    <w:rsid w:val="00645952"/>
    <w:rsid w:val="00645C94"/>
    <w:rsid w:val="006471D9"/>
    <w:rsid w:val="006472A4"/>
    <w:rsid w:val="00647BE6"/>
    <w:rsid w:val="00647FB6"/>
    <w:rsid w:val="00650240"/>
    <w:rsid w:val="00650269"/>
    <w:rsid w:val="006507FE"/>
    <w:rsid w:val="00651867"/>
    <w:rsid w:val="006524BE"/>
    <w:rsid w:val="0065255E"/>
    <w:rsid w:val="00652763"/>
    <w:rsid w:val="006527DC"/>
    <w:rsid w:val="006537E9"/>
    <w:rsid w:val="00653BA4"/>
    <w:rsid w:val="00653D2D"/>
    <w:rsid w:val="00653D66"/>
    <w:rsid w:val="00654216"/>
    <w:rsid w:val="00654575"/>
    <w:rsid w:val="006545E6"/>
    <w:rsid w:val="00654B2F"/>
    <w:rsid w:val="00654D3D"/>
    <w:rsid w:val="00654FD7"/>
    <w:rsid w:val="0065520B"/>
    <w:rsid w:val="0065584A"/>
    <w:rsid w:val="0065627A"/>
    <w:rsid w:val="00656963"/>
    <w:rsid w:val="006574DB"/>
    <w:rsid w:val="006576ED"/>
    <w:rsid w:val="00662024"/>
    <w:rsid w:val="006642F6"/>
    <w:rsid w:val="006644DB"/>
    <w:rsid w:val="00664C48"/>
    <w:rsid w:val="0066577E"/>
    <w:rsid w:val="00666588"/>
    <w:rsid w:val="00666E03"/>
    <w:rsid w:val="00666FA7"/>
    <w:rsid w:val="00666FA8"/>
    <w:rsid w:val="0067019E"/>
    <w:rsid w:val="006701C8"/>
    <w:rsid w:val="00670D76"/>
    <w:rsid w:val="00670DF2"/>
    <w:rsid w:val="0067157B"/>
    <w:rsid w:val="00671E3E"/>
    <w:rsid w:val="00671F0F"/>
    <w:rsid w:val="00671FE5"/>
    <w:rsid w:val="006722EC"/>
    <w:rsid w:val="006725A6"/>
    <w:rsid w:val="00672F86"/>
    <w:rsid w:val="006737BA"/>
    <w:rsid w:val="00673DA0"/>
    <w:rsid w:val="00673E8D"/>
    <w:rsid w:val="00674261"/>
    <w:rsid w:val="0067451C"/>
    <w:rsid w:val="00674AC6"/>
    <w:rsid w:val="00674CB8"/>
    <w:rsid w:val="0067549B"/>
    <w:rsid w:val="00675C21"/>
    <w:rsid w:val="00676274"/>
    <w:rsid w:val="00676412"/>
    <w:rsid w:val="00676D85"/>
    <w:rsid w:val="00676FA1"/>
    <w:rsid w:val="006773B6"/>
    <w:rsid w:val="006773E6"/>
    <w:rsid w:val="00677465"/>
    <w:rsid w:val="00677E6F"/>
    <w:rsid w:val="00680424"/>
    <w:rsid w:val="00680A63"/>
    <w:rsid w:val="00681186"/>
    <w:rsid w:val="00682688"/>
    <w:rsid w:val="00683389"/>
    <w:rsid w:val="00683C38"/>
    <w:rsid w:val="00683E1B"/>
    <w:rsid w:val="00683ECE"/>
    <w:rsid w:val="0068508A"/>
    <w:rsid w:val="00685707"/>
    <w:rsid w:val="00685AA9"/>
    <w:rsid w:val="006863B9"/>
    <w:rsid w:val="006871E5"/>
    <w:rsid w:val="00687497"/>
    <w:rsid w:val="00687787"/>
    <w:rsid w:val="006877F4"/>
    <w:rsid w:val="006902AF"/>
    <w:rsid w:val="006904AC"/>
    <w:rsid w:val="00691343"/>
    <w:rsid w:val="00691D56"/>
    <w:rsid w:val="006921EC"/>
    <w:rsid w:val="00692C03"/>
    <w:rsid w:val="00692FE7"/>
    <w:rsid w:val="00693D87"/>
    <w:rsid w:val="0069436B"/>
    <w:rsid w:val="006943C3"/>
    <w:rsid w:val="00694881"/>
    <w:rsid w:val="00694B10"/>
    <w:rsid w:val="00694BE6"/>
    <w:rsid w:val="00695F6A"/>
    <w:rsid w:val="00696A35"/>
    <w:rsid w:val="00696D22"/>
    <w:rsid w:val="00696EF2"/>
    <w:rsid w:val="00697138"/>
    <w:rsid w:val="00697FF4"/>
    <w:rsid w:val="006A0178"/>
    <w:rsid w:val="006A1632"/>
    <w:rsid w:val="006A1A41"/>
    <w:rsid w:val="006A1AAD"/>
    <w:rsid w:val="006A1BFC"/>
    <w:rsid w:val="006A1C27"/>
    <w:rsid w:val="006A26D9"/>
    <w:rsid w:val="006A2CA2"/>
    <w:rsid w:val="006A3D3F"/>
    <w:rsid w:val="006A40A1"/>
    <w:rsid w:val="006A40F5"/>
    <w:rsid w:val="006A4CFD"/>
    <w:rsid w:val="006A5166"/>
    <w:rsid w:val="006A519F"/>
    <w:rsid w:val="006A567C"/>
    <w:rsid w:val="006A610A"/>
    <w:rsid w:val="006A6240"/>
    <w:rsid w:val="006A70E4"/>
    <w:rsid w:val="006A7591"/>
    <w:rsid w:val="006B04FC"/>
    <w:rsid w:val="006B0A14"/>
    <w:rsid w:val="006B0ACB"/>
    <w:rsid w:val="006B24EA"/>
    <w:rsid w:val="006B37BE"/>
    <w:rsid w:val="006B3E1F"/>
    <w:rsid w:val="006B448D"/>
    <w:rsid w:val="006B535F"/>
    <w:rsid w:val="006B5517"/>
    <w:rsid w:val="006B5601"/>
    <w:rsid w:val="006B5DB3"/>
    <w:rsid w:val="006B64AB"/>
    <w:rsid w:val="006B64BB"/>
    <w:rsid w:val="006B7B3A"/>
    <w:rsid w:val="006B7CD3"/>
    <w:rsid w:val="006C1598"/>
    <w:rsid w:val="006C26A4"/>
    <w:rsid w:val="006C3900"/>
    <w:rsid w:val="006C583A"/>
    <w:rsid w:val="006C6418"/>
    <w:rsid w:val="006C6560"/>
    <w:rsid w:val="006C6ABE"/>
    <w:rsid w:val="006C6B1D"/>
    <w:rsid w:val="006C6C49"/>
    <w:rsid w:val="006D04B6"/>
    <w:rsid w:val="006D067A"/>
    <w:rsid w:val="006D12D5"/>
    <w:rsid w:val="006D17E2"/>
    <w:rsid w:val="006D3423"/>
    <w:rsid w:val="006D3496"/>
    <w:rsid w:val="006D38A0"/>
    <w:rsid w:val="006D458F"/>
    <w:rsid w:val="006D46C3"/>
    <w:rsid w:val="006D558D"/>
    <w:rsid w:val="006D5B62"/>
    <w:rsid w:val="006E02A7"/>
    <w:rsid w:val="006E0663"/>
    <w:rsid w:val="006E079E"/>
    <w:rsid w:val="006E1564"/>
    <w:rsid w:val="006E15ED"/>
    <w:rsid w:val="006E1C06"/>
    <w:rsid w:val="006E2E63"/>
    <w:rsid w:val="006E3CEF"/>
    <w:rsid w:val="006E3DAC"/>
    <w:rsid w:val="006E404C"/>
    <w:rsid w:val="006E423A"/>
    <w:rsid w:val="006E4805"/>
    <w:rsid w:val="006E490C"/>
    <w:rsid w:val="006E4DE9"/>
    <w:rsid w:val="006E4E86"/>
    <w:rsid w:val="006E573A"/>
    <w:rsid w:val="006E59C1"/>
    <w:rsid w:val="006E62A6"/>
    <w:rsid w:val="006E6E35"/>
    <w:rsid w:val="006E7B5D"/>
    <w:rsid w:val="006F03FA"/>
    <w:rsid w:val="006F14CA"/>
    <w:rsid w:val="006F1751"/>
    <w:rsid w:val="006F1833"/>
    <w:rsid w:val="006F1989"/>
    <w:rsid w:val="006F1CCD"/>
    <w:rsid w:val="006F1DA9"/>
    <w:rsid w:val="006F2C7D"/>
    <w:rsid w:val="006F3014"/>
    <w:rsid w:val="006F43EE"/>
    <w:rsid w:val="006F51C2"/>
    <w:rsid w:val="006F5690"/>
    <w:rsid w:val="006F5A8B"/>
    <w:rsid w:val="006F6487"/>
    <w:rsid w:val="006F758F"/>
    <w:rsid w:val="0070001C"/>
    <w:rsid w:val="00700086"/>
    <w:rsid w:val="0070096D"/>
    <w:rsid w:val="007009CB"/>
    <w:rsid w:val="00701CF4"/>
    <w:rsid w:val="0070405A"/>
    <w:rsid w:val="007056DA"/>
    <w:rsid w:val="00706421"/>
    <w:rsid w:val="007078F6"/>
    <w:rsid w:val="00710BC1"/>
    <w:rsid w:val="00710D16"/>
    <w:rsid w:val="00710F95"/>
    <w:rsid w:val="00711175"/>
    <w:rsid w:val="00711E7E"/>
    <w:rsid w:val="00712438"/>
    <w:rsid w:val="00712FE3"/>
    <w:rsid w:val="0071353A"/>
    <w:rsid w:val="00713D7D"/>
    <w:rsid w:val="00714427"/>
    <w:rsid w:val="00714ACB"/>
    <w:rsid w:val="00715E77"/>
    <w:rsid w:val="0071603B"/>
    <w:rsid w:val="00716164"/>
    <w:rsid w:val="00716935"/>
    <w:rsid w:val="00716A09"/>
    <w:rsid w:val="00716B1B"/>
    <w:rsid w:val="00716BA7"/>
    <w:rsid w:val="00716F9A"/>
    <w:rsid w:val="00717358"/>
    <w:rsid w:val="007177CD"/>
    <w:rsid w:val="0071795E"/>
    <w:rsid w:val="00717AF4"/>
    <w:rsid w:val="00717C70"/>
    <w:rsid w:val="00717D96"/>
    <w:rsid w:val="00717E2D"/>
    <w:rsid w:val="0072039C"/>
    <w:rsid w:val="007204F4"/>
    <w:rsid w:val="00720E97"/>
    <w:rsid w:val="00721265"/>
    <w:rsid w:val="00721502"/>
    <w:rsid w:val="007219CC"/>
    <w:rsid w:val="00721E25"/>
    <w:rsid w:val="00722541"/>
    <w:rsid w:val="00722A4D"/>
    <w:rsid w:val="007239E3"/>
    <w:rsid w:val="00723E44"/>
    <w:rsid w:val="007247C0"/>
    <w:rsid w:val="00724E08"/>
    <w:rsid w:val="0072524A"/>
    <w:rsid w:val="00725DC3"/>
    <w:rsid w:val="007266BB"/>
    <w:rsid w:val="0072752C"/>
    <w:rsid w:val="00730B05"/>
    <w:rsid w:val="0073101B"/>
    <w:rsid w:val="0073204A"/>
    <w:rsid w:val="007321AE"/>
    <w:rsid w:val="00733263"/>
    <w:rsid w:val="007335E1"/>
    <w:rsid w:val="00733662"/>
    <w:rsid w:val="00733D99"/>
    <w:rsid w:val="007351A6"/>
    <w:rsid w:val="007353AC"/>
    <w:rsid w:val="0073545D"/>
    <w:rsid w:val="007359B4"/>
    <w:rsid w:val="007359CF"/>
    <w:rsid w:val="00735CCA"/>
    <w:rsid w:val="00736B68"/>
    <w:rsid w:val="00736D25"/>
    <w:rsid w:val="007376A6"/>
    <w:rsid w:val="007376A7"/>
    <w:rsid w:val="007378CD"/>
    <w:rsid w:val="00740CCD"/>
    <w:rsid w:val="007414D2"/>
    <w:rsid w:val="0074160C"/>
    <w:rsid w:val="00741AEF"/>
    <w:rsid w:val="00742CC4"/>
    <w:rsid w:val="0074343C"/>
    <w:rsid w:val="00744767"/>
    <w:rsid w:val="00745351"/>
    <w:rsid w:val="007459C6"/>
    <w:rsid w:val="00746674"/>
    <w:rsid w:val="007477B7"/>
    <w:rsid w:val="007500BE"/>
    <w:rsid w:val="00750106"/>
    <w:rsid w:val="007505E4"/>
    <w:rsid w:val="007512B0"/>
    <w:rsid w:val="00751DC8"/>
    <w:rsid w:val="007523EF"/>
    <w:rsid w:val="007530A0"/>
    <w:rsid w:val="0075359F"/>
    <w:rsid w:val="0075536C"/>
    <w:rsid w:val="00755653"/>
    <w:rsid w:val="00756157"/>
    <w:rsid w:val="00756983"/>
    <w:rsid w:val="00756DAC"/>
    <w:rsid w:val="00756F1D"/>
    <w:rsid w:val="00757007"/>
    <w:rsid w:val="00757C83"/>
    <w:rsid w:val="00760B42"/>
    <w:rsid w:val="00760D5F"/>
    <w:rsid w:val="00761564"/>
    <w:rsid w:val="007616F5"/>
    <w:rsid w:val="00762682"/>
    <w:rsid w:val="00762894"/>
    <w:rsid w:val="007629FB"/>
    <w:rsid w:val="00762DC8"/>
    <w:rsid w:val="0076338C"/>
    <w:rsid w:val="00764266"/>
    <w:rsid w:val="00764CA9"/>
    <w:rsid w:val="00765361"/>
    <w:rsid w:val="00765EF8"/>
    <w:rsid w:val="00766DDD"/>
    <w:rsid w:val="00767C58"/>
    <w:rsid w:val="0077001B"/>
    <w:rsid w:val="0077009A"/>
    <w:rsid w:val="007707BD"/>
    <w:rsid w:val="00770804"/>
    <w:rsid w:val="00770D22"/>
    <w:rsid w:val="0077253A"/>
    <w:rsid w:val="0077274D"/>
    <w:rsid w:val="00772F1F"/>
    <w:rsid w:val="00773C17"/>
    <w:rsid w:val="00774048"/>
    <w:rsid w:val="00774435"/>
    <w:rsid w:val="007747DA"/>
    <w:rsid w:val="00774EE7"/>
    <w:rsid w:val="0077521A"/>
    <w:rsid w:val="00775900"/>
    <w:rsid w:val="0077736C"/>
    <w:rsid w:val="007779C4"/>
    <w:rsid w:val="00777C2D"/>
    <w:rsid w:val="007803F8"/>
    <w:rsid w:val="00781694"/>
    <w:rsid w:val="00781C95"/>
    <w:rsid w:val="00781D79"/>
    <w:rsid w:val="00781DE4"/>
    <w:rsid w:val="00781F8C"/>
    <w:rsid w:val="00782C4B"/>
    <w:rsid w:val="00782CD4"/>
    <w:rsid w:val="007830E7"/>
    <w:rsid w:val="0078369D"/>
    <w:rsid w:val="00783AF4"/>
    <w:rsid w:val="007844CC"/>
    <w:rsid w:val="0078483C"/>
    <w:rsid w:val="00784903"/>
    <w:rsid w:val="00784DE2"/>
    <w:rsid w:val="00785F07"/>
    <w:rsid w:val="007866E3"/>
    <w:rsid w:val="0078725F"/>
    <w:rsid w:val="00787519"/>
    <w:rsid w:val="00787856"/>
    <w:rsid w:val="00787FFB"/>
    <w:rsid w:val="0079149F"/>
    <w:rsid w:val="00792C85"/>
    <w:rsid w:val="00794443"/>
    <w:rsid w:val="0079491F"/>
    <w:rsid w:val="00794957"/>
    <w:rsid w:val="00795049"/>
    <w:rsid w:val="00795988"/>
    <w:rsid w:val="00795AFF"/>
    <w:rsid w:val="00796376"/>
    <w:rsid w:val="007964D8"/>
    <w:rsid w:val="00796546"/>
    <w:rsid w:val="00796782"/>
    <w:rsid w:val="00796C59"/>
    <w:rsid w:val="00796DD8"/>
    <w:rsid w:val="00797509"/>
    <w:rsid w:val="007A0174"/>
    <w:rsid w:val="007A0CE0"/>
    <w:rsid w:val="007A1753"/>
    <w:rsid w:val="007A18AC"/>
    <w:rsid w:val="007A1AB2"/>
    <w:rsid w:val="007A1E75"/>
    <w:rsid w:val="007A251D"/>
    <w:rsid w:val="007A2A5B"/>
    <w:rsid w:val="007A2AC8"/>
    <w:rsid w:val="007A2C62"/>
    <w:rsid w:val="007A3209"/>
    <w:rsid w:val="007A3441"/>
    <w:rsid w:val="007A34A9"/>
    <w:rsid w:val="007A38AA"/>
    <w:rsid w:val="007A3E59"/>
    <w:rsid w:val="007A443B"/>
    <w:rsid w:val="007A45CD"/>
    <w:rsid w:val="007A468A"/>
    <w:rsid w:val="007A48FD"/>
    <w:rsid w:val="007A5B18"/>
    <w:rsid w:val="007A5FF3"/>
    <w:rsid w:val="007A649F"/>
    <w:rsid w:val="007A6A9F"/>
    <w:rsid w:val="007A78E0"/>
    <w:rsid w:val="007B0273"/>
    <w:rsid w:val="007B07C2"/>
    <w:rsid w:val="007B099B"/>
    <w:rsid w:val="007B0D0F"/>
    <w:rsid w:val="007B1300"/>
    <w:rsid w:val="007B1BD6"/>
    <w:rsid w:val="007B1E38"/>
    <w:rsid w:val="007B2B3B"/>
    <w:rsid w:val="007B2CD7"/>
    <w:rsid w:val="007B4252"/>
    <w:rsid w:val="007B45AB"/>
    <w:rsid w:val="007B463E"/>
    <w:rsid w:val="007B4FE9"/>
    <w:rsid w:val="007B5622"/>
    <w:rsid w:val="007B5B7C"/>
    <w:rsid w:val="007B683C"/>
    <w:rsid w:val="007B6A58"/>
    <w:rsid w:val="007B724F"/>
    <w:rsid w:val="007B7571"/>
    <w:rsid w:val="007B7C90"/>
    <w:rsid w:val="007B7DCF"/>
    <w:rsid w:val="007C050A"/>
    <w:rsid w:val="007C0738"/>
    <w:rsid w:val="007C0831"/>
    <w:rsid w:val="007C0DA2"/>
    <w:rsid w:val="007C16B8"/>
    <w:rsid w:val="007C22FB"/>
    <w:rsid w:val="007C271B"/>
    <w:rsid w:val="007C2822"/>
    <w:rsid w:val="007C2DCA"/>
    <w:rsid w:val="007C3776"/>
    <w:rsid w:val="007C496F"/>
    <w:rsid w:val="007C6C21"/>
    <w:rsid w:val="007C723D"/>
    <w:rsid w:val="007D0B3C"/>
    <w:rsid w:val="007D0B44"/>
    <w:rsid w:val="007D174E"/>
    <w:rsid w:val="007D1B42"/>
    <w:rsid w:val="007D1F40"/>
    <w:rsid w:val="007D31A5"/>
    <w:rsid w:val="007D408B"/>
    <w:rsid w:val="007D4756"/>
    <w:rsid w:val="007D5499"/>
    <w:rsid w:val="007D57A4"/>
    <w:rsid w:val="007D5A6C"/>
    <w:rsid w:val="007D61EF"/>
    <w:rsid w:val="007D64F1"/>
    <w:rsid w:val="007D6AC1"/>
    <w:rsid w:val="007D7E91"/>
    <w:rsid w:val="007E0CC7"/>
    <w:rsid w:val="007E114F"/>
    <w:rsid w:val="007E12D3"/>
    <w:rsid w:val="007E1334"/>
    <w:rsid w:val="007E195A"/>
    <w:rsid w:val="007E1986"/>
    <w:rsid w:val="007E198A"/>
    <w:rsid w:val="007E1AC5"/>
    <w:rsid w:val="007E2146"/>
    <w:rsid w:val="007E2700"/>
    <w:rsid w:val="007E2EA1"/>
    <w:rsid w:val="007E32F9"/>
    <w:rsid w:val="007E3EAC"/>
    <w:rsid w:val="007E4066"/>
    <w:rsid w:val="007E4F69"/>
    <w:rsid w:val="007E556B"/>
    <w:rsid w:val="007E5708"/>
    <w:rsid w:val="007E5755"/>
    <w:rsid w:val="007E61A6"/>
    <w:rsid w:val="007E63C8"/>
    <w:rsid w:val="007E6E14"/>
    <w:rsid w:val="007E73B9"/>
    <w:rsid w:val="007F007A"/>
    <w:rsid w:val="007F0426"/>
    <w:rsid w:val="007F0695"/>
    <w:rsid w:val="007F1913"/>
    <w:rsid w:val="007F21FC"/>
    <w:rsid w:val="007F25E0"/>
    <w:rsid w:val="007F2708"/>
    <w:rsid w:val="007F2792"/>
    <w:rsid w:val="007F2894"/>
    <w:rsid w:val="007F2D8B"/>
    <w:rsid w:val="007F307F"/>
    <w:rsid w:val="007F311C"/>
    <w:rsid w:val="007F3716"/>
    <w:rsid w:val="007F3781"/>
    <w:rsid w:val="007F42B7"/>
    <w:rsid w:val="007F4F29"/>
    <w:rsid w:val="007F5A5F"/>
    <w:rsid w:val="007F5BBE"/>
    <w:rsid w:val="007F5D2A"/>
    <w:rsid w:val="007F5D6C"/>
    <w:rsid w:val="007F5F38"/>
    <w:rsid w:val="007F62CA"/>
    <w:rsid w:val="007F6792"/>
    <w:rsid w:val="007F7870"/>
    <w:rsid w:val="007F7CB9"/>
    <w:rsid w:val="007F7E86"/>
    <w:rsid w:val="00800444"/>
    <w:rsid w:val="008011D8"/>
    <w:rsid w:val="00801E8A"/>
    <w:rsid w:val="008021FE"/>
    <w:rsid w:val="00804199"/>
    <w:rsid w:val="0080476B"/>
    <w:rsid w:val="00804C3E"/>
    <w:rsid w:val="0080519A"/>
    <w:rsid w:val="00805212"/>
    <w:rsid w:val="00805EA6"/>
    <w:rsid w:val="00805EC1"/>
    <w:rsid w:val="00806BAE"/>
    <w:rsid w:val="00807F33"/>
    <w:rsid w:val="00810298"/>
    <w:rsid w:val="008108AE"/>
    <w:rsid w:val="00810FDA"/>
    <w:rsid w:val="008114D0"/>
    <w:rsid w:val="00811550"/>
    <w:rsid w:val="00811DEE"/>
    <w:rsid w:val="00812248"/>
    <w:rsid w:val="0081281B"/>
    <w:rsid w:val="00812834"/>
    <w:rsid w:val="00814A84"/>
    <w:rsid w:val="00814C8D"/>
    <w:rsid w:val="0081595B"/>
    <w:rsid w:val="0081610B"/>
    <w:rsid w:val="00816A91"/>
    <w:rsid w:val="00816E7D"/>
    <w:rsid w:val="008174CD"/>
    <w:rsid w:val="00820CC2"/>
    <w:rsid w:val="008216A0"/>
    <w:rsid w:val="00821EA1"/>
    <w:rsid w:val="008225D0"/>
    <w:rsid w:val="0082296D"/>
    <w:rsid w:val="00822B2D"/>
    <w:rsid w:val="0082380D"/>
    <w:rsid w:val="00824494"/>
    <w:rsid w:val="00824A4C"/>
    <w:rsid w:val="008254F4"/>
    <w:rsid w:val="00825BEA"/>
    <w:rsid w:val="00826010"/>
    <w:rsid w:val="008270CE"/>
    <w:rsid w:val="0082718E"/>
    <w:rsid w:val="00827972"/>
    <w:rsid w:val="00827D4B"/>
    <w:rsid w:val="00830483"/>
    <w:rsid w:val="0083068D"/>
    <w:rsid w:val="00830847"/>
    <w:rsid w:val="00830C05"/>
    <w:rsid w:val="00831040"/>
    <w:rsid w:val="00831752"/>
    <w:rsid w:val="00831C0A"/>
    <w:rsid w:val="00831F88"/>
    <w:rsid w:val="00832A6D"/>
    <w:rsid w:val="00832BB2"/>
    <w:rsid w:val="00832DCF"/>
    <w:rsid w:val="00833245"/>
    <w:rsid w:val="008339E2"/>
    <w:rsid w:val="00833B74"/>
    <w:rsid w:val="00834323"/>
    <w:rsid w:val="00834FDE"/>
    <w:rsid w:val="00835445"/>
    <w:rsid w:val="00835908"/>
    <w:rsid w:val="00835D0F"/>
    <w:rsid w:val="00835D26"/>
    <w:rsid w:val="00836BEA"/>
    <w:rsid w:val="00837A41"/>
    <w:rsid w:val="0084040D"/>
    <w:rsid w:val="008404B4"/>
    <w:rsid w:val="00840C02"/>
    <w:rsid w:val="0084169D"/>
    <w:rsid w:val="0084174E"/>
    <w:rsid w:val="00841B8E"/>
    <w:rsid w:val="00841C44"/>
    <w:rsid w:val="00843C01"/>
    <w:rsid w:val="00843DD7"/>
    <w:rsid w:val="00844005"/>
    <w:rsid w:val="008440D4"/>
    <w:rsid w:val="00844F09"/>
    <w:rsid w:val="00845427"/>
    <w:rsid w:val="00845456"/>
    <w:rsid w:val="008456DE"/>
    <w:rsid w:val="00845729"/>
    <w:rsid w:val="0084621A"/>
    <w:rsid w:val="008463FF"/>
    <w:rsid w:val="008464EE"/>
    <w:rsid w:val="00846BEA"/>
    <w:rsid w:val="0084781E"/>
    <w:rsid w:val="00850B06"/>
    <w:rsid w:val="0085151E"/>
    <w:rsid w:val="00852AFF"/>
    <w:rsid w:val="00852D64"/>
    <w:rsid w:val="00853667"/>
    <w:rsid w:val="008542DB"/>
    <w:rsid w:val="008553CA"/>
    <w:rsid w:val="00855426"/>
    <w:rsid w:val="00855F1B"/>
    <w:rsid w:val="00856A3C"/>
    <w:rsid w:val="00856D54"/>
    <w:rsid w:val="0085703B"/>
    <w:rsid w:val="00857A05"/>
    <w:rsid w:val="00860330"/>
    <w:rsid w:val="00860557"/>
    <w:rsid w:val="008606DF"/>
    <w:rsid w:val="008609B1"/>
    <w:rsid w:val="0086148C"/>
    <w:rsid w:val="0086220C"/>
    <w:rsid w:val="008624F4"/>
    <w:rsid w:val="00862958"/>
    <w:rsid w:val="008637E6"/>
    <w:rsid w:val="008640F7"/>
    <w:rsid w:val="0086483F"/>
    <w:rsid w:val="00865E48"/>
    <w:rsid w:val="00866572"/>
    <w:rsid w:val="00867C82"/>
    <w:rsid w:val="00867D5B"/>
    <w:rsid w:val="00867E46"/>
    <w:rsid w:val="00871A88"/>
    <w:rsid w:val="008721CA"/>
    <w:rsid w:val="00873418"/>
    <w:rsid w:val="008736D7"/>
    <w:rsid w:val="00873D4E"/>
    <w:rsid w:val="00873DB8"/>
    <w:rsid w:val="00873DEE"/>
    <w:rsid w:val="00874091"/>
    <w:rsid w:val="00874163"/>
    <w:rsid w:val="0087422B"/>
    <w:rsid w:val="008746F5"/>
    <w:rsid w:val="00874C6A"/>
    <w:rsid w:val="00874CAE"/>
    <w:rsid w:val="00874EE2"/>
    <w:rsid w:val="008758F2"/>
    <w:rsid w:val="008767B3"/>
    <w:rsid w:val="0087698C"/>
    <w:rsid w:val="00876992"/>
    <w:rsid w:val="00876D11"/>
    <w:rsid w:val="00877B4B"/>
    <w:rsid w:val="00877F83"/>
    <w:rsid w:val="008807F3"/>
    <w:rsid w:val="00880E02"/>
    <w:rsid w:val="00882A3B"/>
    <w:rsid w:val="00883CD6"/>
    <w:rsid w:val="0088418D"/>
    <w:rsid w:val="00884B85"/>
    <w:rsid w:val="00884D7C"/>
    <w:rsid w:val="00886724"/>
    <w:rsid w:val="00886AC7"/>
    <w:rsid w:val="0088759E"/>
    <w:rsid w:val="00887805"/>
    <w:rsid w:val="00887878"/>
    <w:rsid w:val="00890502"/>
    <w:rsid w:val="00890B6B"/>
    <w:rsid w:val="00890E16"/>
    <w:rsid w:val="00891BF6"/>
    <w:rsid w:val="00891E2A"/>
    <w:rsid w:val="008923D7"/>
    <w:rsid w:val="00892748"/>
    <w:rsid w:val="0089348D"/>
    <w:rsid w:val="00893701"/>
    <w:rsid w:val="00894468"/>
    <w:rsid w:val="00894A23"/>
    <w:rsid w:val="00895152"/>
    <w:rsid w:val="00895F46"/>
    <w:rsid w:val="00896EAA"/>
    <w:rsid w:val="00896F2B"/>
    <w:rsid w:val="0089700C"/>
    <w:rsid w:val="008971C7"/>
    <w:rsid w:val="0089732B"/>
    <w:rsid w:val="008974AC"/>
    <w:rsid w:val="008976A9"/>
    <w:rsid w:val="00897C72"/>
    <w:rsid w:val="008A0491"/>
    <w:rsid w:val="008A04EB"/>
    <w:rsid w:val="008A1269"/>
    <w:rsid w:val="008A2373"/>
    <w:rsid w:val="008A280C"/>
    <w:rsid w:val="008A31BE"/>
    <w:rsid w:val="008A3FD0"/>
    <w:rsid w:val="008A5116"/>
    <w:rsid w:val="008A57F0"/>
    <w:rsid w:val="008A6A86"/>
    <w:rsid w:val="008A6AFD"/>
    <w:rsid w:val="008A6B93"/>
    <w:rsid w:val="008A76E1"/>
    <w:rsid w:val="008B0114"/>
    <w:rsid w:val="008B05F1"/>
    <w:rsid w:val="008B093A"/>
    <w:rsid w:val="008B0AD3"/>
    <w:rsid w:val="008B110E"/>
    <w:rsid w:val="008B12C9"/>
    <w:rsid w:val="008B1869"/>
    <w:rsid w:val="008B1AE5"/>
    <w:rsid w:val="008B1B81"/>
    <w:rsid w:val="008B1EC2"/>
    <w:rsid w:val="008B20EA"/>
    <w:rsid w:val="008B2326"/>
    <w:rsid w:val="008B4BF6"/>
    <w:rsid w:val="008B5B06"/>
    <w:rsid w:val="008B67ED"/>
    <w:rsid w:val="008B6C96"/>
    <w:rsid w:val="008B7258"/>
    <w:rsid w:val="008B734A"/>
    <w:rsid w:val="008B74F5"/>
    <w:rsid w:val="008B7889"/>
    <w:rsid w:val="008B79A8"/>
    <w:rsid w:val="008B7FC8"/>
    <w:rsid w:val="008C045E"/>
    <w:rsid w:val="008C0940"/>
    <w:rsid w:val="008C0A3E"/>
    <w:rsid w:val="008C18DE"/>
    <w:rsid w:val="008C1D96"/>
    <w:rsid w:val="008C2232"/>
    <w:rsid w:val="008C32DF"/>
    <w:rsid w:val="008C33B2"/>
    <w:rsid w:val="008C3610"/>
    <w:rsid w:val="008C3661"/>
    <w:rsid w:val="008C380B"/>
    <w:rsid w:val="008C383D"/>
    <w:rsid w:val="008C38FB"/>
    <w:rsid w:val="008C3A34"/>
    <w:rsid w:val="008C3BA0"/>
    <w:rsid w:val="008C3C96"/>
    <w:rsid w:val="008C4043"/>
    <w:rsid w:val="008C439A"/>
    <w:rsid w:val="008C524E"/>
    <w:rsid w:val="008C53B5"/>
    <w:rsid w:val="008C5DDE"/>
    <w:rsid w:val="008C69EA"/>
    <w:rsid w:val="008C7B89"/>
    <w:rsid w:val="008D0BA8"/>
    <w:rsid w:val="008D1818"/>
    <w:rsid w:val="008D1AE6"/>
    <w:rsid w:val="008D1C12"/>
    <w:rsid w:val="008D1FCF"/>
    <w:rsid w:val="008D2421"/>
    <w:rsid w:val="008D26A4"/>
    <w:rsid w:val="008D2B50"/>
    <w:rsid w:val="008D3EE8"/>
    <w:rsid w:val="008D4CA4"/>
    <w:rsid w:val="008D533C"/>
    <w:rsid w:val="008D54AC"/>
    <w:rsid w:val="008D5ECC"/>
    <w:rsid w:val="008D65DA"/>
    <w:rsid w:val="008D67F0"/>
    <w:rsid w:val="008D6B38"/>
    <w:rsid w:val="008D6CCF"/>
    <w:rsid w:val="008D72DA"/>
    <w:rsid w:val="008D7413"/>
    <w:rsid w:val="008D767D"/>
    <w:rsid w:val="008E0251"/>
    <w:rsid w:val="008E0292"/>
    <w:rsid w:val="008E05C5"/>
    <w:rsid w:val="008E05CF"/>
    <w:rsid w:val="008E0798"/>
    <w:rsid w:val="008E0B04"/>
    <w:rsid w:val="008E1A98"/>
    <w:rsid w:val="008E1BBB"/>
    <w:rsid w:val="008E1FDD"/>
    <w:rsid w:val="008E2A6A"/>
    <w:rsid w:val="008E2E6D"/>
    <w:rsid w:val="008E3852"/>
    <w:rsid w:val="008E4572"/>
    <w:rsid w:val="008E4D49"/>
    <w:rsid w:val="008E56B3"/>
    <w:rsid w:val="008E595F"/>
    <w:rsid w:val="008E64B8"/>
    <w:rsid w:val="008E6A92"/>
    <w:rsid w:val="008E7098"/>
    <w:rsid w:val="008E736D"/>
    <w:rsid w:val="008E7C26"/>
    <w:rsid w:val="008F1510"/>
    <w:rsid w:val="008F180B"/>
    <w:rsid w:val="008F1FF3"/>
    <w:rsid w:val="008F3698"/>
    <w:rsid w:val="008F3EA0"/>
    <w:rsid w:val="008F440B"/>
    <w:rsid w:val="008F4CDF"/>
    <w:rsid w:val="008F4FA5"/>
    <w:rsid w:val="008F583C"/>
    <w:rsid w:val="008F58A7"/>
    <w:rsid w:val="008F6F4B"/>
    <w:rsid w:val="008F7E3B"/>
    <w:rsid w:val="009009E7"/>
    <w:rsid w:val="0090191B"/>
    <w:rsid w:val="00902535"/>
    <w:rsid w:val="00903005"/>
    <w:rsid w:val="009037F6"/>
    <w:rsid w:val="009039B5"/>
    <w:rsid w:val="00904BBB"/>
    <w:rsid w:val="0090511A"/>
    <w:rsid w:val="009053D5"/>
    <w:rsid w:val="00905670"/>
    <w:rsid w:val="009058BD"/>
    <w:rsid w:val="0090690E"/>
    <w:rsid w:val="00906AD9"/>
    <w:rsid w:val="00906E0E"/>
    <w:rsid w:val="0090732E"/>
    <w:rsid w:val="00907F8C"/>
    <w:rsid w:val="0091020D"/>
    <w:rsid w:val="00910A69"/>
    <w:rsid w:val="00910D6C"/>
    <w:rsid w:val="00910FA5"/>
    <w:rsid w:val="00911BB4"/>
    <w:rsid w:val="00911FAF"/>
    <w:rsid w:val="00912EED"/>
    <w:rsid w:val="009131F9"/>
    <w:rsid w:val="009132FA"/>
    <w:rsid w:val="009134FA"/>
    <w:rsid w:val="0091392F"/>
    <w:rsid w:val="0091485A"/>
    <w:rsid w:val="00914A14"/>
    <w:rsid w:val="009153DF"/>
    <w:rsid w:val="009153F7"/>
    <w:rsid w:val="00915BF9"/>
    <w:rsid w:val="0091640E"/>
    <w:rsid w:val="009169E5"/>
    <w:rsid w:val="00917F3C"/>
    <w:rsid w:val="00917F65"/>
    <w:rsid w:val="009200D3"/>
    <w:rsid w:val="00920ACD"/>
    <w:rsid w:val="0092150A"/>
    <w:rsid w:val="00921608"/>
    <w:rsid w:val="00921D24"/>
    <w:rsid w:val="0092234B"/>
    <w:rsid w:val="009230FD"/>
    <w:rsid w:val="0092363B"/>
    <w:rsid w:val="0092439F"/>
    <w:rsid w:val="00925198"/>
    <w:rsid w:val="009251FA"/>
    <w:rsid w:val="009254DA"/>
    <w:rsid w:val="009256FB"/>
    <w:rsid w:val="00925EBB"/>
    <w:rsid w:val="00925F50"/>
    <w:rsid w:val="009265A6"/>
    <w:rsid w:val="00927133"/>
    <w:rsid w:val="0092775B"/>
    <w:rsid w:val="00930592"/>
    <w:rsid w:val="00931F91"/>
    <w:rsid w:val="00932AA1"/>
    <w:rsid w:val="00932E1B"/>
    <w:rsid w:val="0093321F"/>
    <w:rsid w:val="00933447"/>
    <w:rsid w:val="00934004"/>
    <w:rsid w:val="009342F7"/>
    <w:rsid w:val="00934D2D"/>
    <w:rsid w:val="009357B2"/>
    <w:rsid w:val="0093618E"/>
    <w:rsid w:val="0093658C"/>
    <w:rsid w:val="00937404"/>
    <w:rsid w:val="009379EE"/>
    <w:rsid w:val="00937E8E"/>
    <w:rsid w:val="00940384"/>
    <w:rsid w:val="0094071B"/>
    <w:rsid w:val="00940EC6"/>
    <w:rsid w:val="009411CE"/>
    <w:rsid w:val="00941540"/>
    <w:rsid w:val="00941BAA"/>
    <w:rsid w:val="009428D0"/>
    <w:rsid w:val="00942B67"/>
    <w:rsid w:val="009449D4"/>
    <w:rsid w:val="00944B2B"/>
    <w:rsid w:val="00944C99"/>
    <w:rsid w:val="00945604"/>
    <w:rsid w:val="009459EC"/>
    <w:rsid w:val="00945A2D"/>
    <w:rsid w:val="00945C45"/>
    <w:rsid w:val="00947043"/>
    <w:rsid w:val="0094719C"/>
    <w:rsid w:val="00947BB2"/>
    <w:rsid w:val="00947C2B"/>
    <w:rsid w:val="00947C99"/>
    <w:rsid w:val="00950203"/>
    <w:rsid w:val="009506E3"/>
    <w:rsid w:val="00951199"/>
    <w:rsid w:val="00951365"/>
    <w:rsid w:val="00952631"/>
    <w:rsid w:val="00952C15"/>
    <w:rsid w:val="00952F81"/>
    <w:rsid w:val="009570A4"/>
    <w:rsid w:val="009573CF"/>
    <w:rsid w:val="009573EE"/>
    <w:rsid w:val="009601A1"/>
    <w:rsid w:val="00961233"/>
    <w:rsid w:val="009612E2"/>
    <w:rsid w:val="00961FDA"/>
    <w:rsid w:val="00962554"/>
    <w:rsid w:val="00963FB1"/>
    <w:rsid w:val="0096432D"/>
    <w:rsid w:val="00964F00"/>
    <w:rsid w:val="00965346"/>
    <w:rsid w:val="00965E9B"/>
    <w:rsid w:val="0096682E"/>
    <w:rsid w:val="0096730E"/>
    <w:rsid w:val="00967342"/>
    <w:rsid w:val="00970C9B"/>
    <w:rsid w:val="00970ED6"/>
    <w:rsid w:val="00971BBD"/>
    <w:rsid w:val="00971D63"/>
    <w:rsid w:val="00971F50"/>
    <w:rsid w:val="00972207"/>
    <w:rsid w:val="00972448"/>
    <w:rsid w:val="00972BB2"/>
    <w:rsid w:val="00975E1D"/>
    <w:rsid w:val="0097688E"/>
    <w:rsid w:val="00977106"/>
    <w:rsid w:val="00977867"/>
    <w:rsid w:val="00977BB3"/>
    <w:rsid w:val="0098015C"/>
    <w:rsid w:val="00980825"/>
    <w:rsid w:val="00982172"/>
    <w:rsid w:val="00982B95"/>
    <w:rsid w:val="00982CB5"/>
    <w:rsid w:val="00983FBF"/>
    <w:rsid w:val="009845E4"/>
    <w:rsid w:val="0098668A"/>
    <w:rsid w:val="00986C23"/>
    <w:rsid w:val="009874CE"/>
    <w:rsid w:val="009875CC"/>
    <w:rsid w:val="00987DC8"/>
    <w:rsid w:val="00987E30"/>
    <w:rsid w:val="00990EC0"/>
    <w:rsid w:val="00992FB4"/>
    <w:rsid w:val="00993548"/>
    <w:rsid w:val="0099397B"/>
    <w:rsid w:val="00993B22"/>
    <w:rsid w:val="0099473A"/>
    <w:rsid w:val="009955FD"/>
    <w:rsid w:val="00995FCB"/>
    <w:rsid w:val="009961CC"/>
    <w:rsid w:val="009967B5"/>
    <w:rsid w:val="009970F2"/>
    <w:rsid w:val="00997234"/>
    <w:rsid w:val="0099730C"/>
    <w:rsid w:val="009977DA"/>
    <w:rsid w:val="00997FFE"/>
    <w:rsid w:val="009A00D3"/>
    <w:rsid w:val="009A0993"/>
    <w:rsid w:val="009A1A89"/>
    <w:rsid w:val="009A1E02"/>
    <w:rsid w:val="009A2221"/>
    <w:rsid w:val="009A2267"/>
    <w:rsid w:val="009A2798"/>
    <w:rsid w:val="009A35E3"/>
    <w:rsid w:val="009A36AE"/>
    <w:rsid w:val="009A3973"/>
    <w:rsid w:val="009A4573"/>
    <w:rsid w:val="009A4684"/>
    <w:rsid w:val="009A4E1C"/>
    <w:rsid w:val="009A4E8A"/>
    <w:rsid w:val="009A51C8"/>
    <w:rsid w:val="009A6638"/>
    <w:rsid w:val="009A7041"/>
    <w:rsid w:val="009A73AC"/>
    <w:rsid w:val="009B051E"/>
    <w:rsid w:val="009B081E"/>
    <w:rsid w:val="009B0E5D"/>
    <w:rsid w:val="009B2044"/>
    <w:rsid w:val="009B23B8"/>
    <w:rsid w:val="009B2505"/>
    <w:rsid w:val="009B28F7"/>
    <w:rsid w:val="009B31CC"/>
    <w:rsid w:val="009B3319"/>
    <w:rsid w:val="009B37B5"/>
    <w:rsid w:val="009B429E"/>
    <w:rsid w:val="009B4515"/>
    <w:rsid w:val="009B4BF6"/>
    <w:rsid w:val="009B60E3"/>
    <w:rsid w:val="009B6598"/>
    <w:rsid w:val="009B66EE"/>
    <w:rsid w:val="009B66F2"/>
    <w:rsid w:val="009B6A90"/>
    <w:rsid w:val="009B6FBA"/>
    <w:rsid w:val="009C04C3"/>
    <w:rsid w:val="009C06C3"/>
    <w:rsid w:val="009C2AD0"/>
    <w:rsid w:val="009C363C"/>
    <w:rsid w:val="009C37E8"/>
    <w:rsid w:val="009C3D9C"/>
    <w:rsid w:val="009C3F5B"/>
    <w:rsid w:val="009C4C45"/>
    <w:rsid w:val="009C512E"/>
    <w:rsid w:val="009C5265"/>
    <w:rsid w:val="009C5E8E"/>
    <w:rsid w:val="009C61B5"/>
    <w:rsid w:val="009C623C"/>
    <w:rsid w:val="009C6770"/>
    <w:rsid w:val="009C68BE"/>
    <w:rsid w:val="009C7514"/>
    <w:rsid w:val="009D0765"/>
    <w:rsid w:val="009D18D2"/>
    <w:rsid w:val="009D1BE6"/>
    <w:rsid w:val="009D251A"/>
    <w:rsid w:val="009D2D55"/>
    <w:rsid w:val="009D2EA6"/>
    <w:rsid w:val="009D2FA6"/>
    <w:rsid w:val="009D3A75"/>
    <w:rsid w:val="009D3BD0"/>
    <w:rsid w:val="009D4501"/>
    <w:rsid w:val="009D4A20"/>
    <w:rsid w:val="009D4E4B"/>
    <w:rsid w:val="009D54CA"/>
    <w:rsid w:val="009D56E3"/>
    <w:rsid w:val="009D58AE"/>
    <w:rsid w:val="009D629A"/>
    <w:rsid w:val="009D66E9"/>
    <w:rsid w:val="009D67EA"/>
    <w:rsid w:val="009D6D25"/>
    <w:rsid w:val="009D6E49"/>
    <w:rsid w:val="009E000A"/>
    <w:rsid w:val="009E0105"/>
    <w:rsid w:val="009E09E1"/>
    <w:rsid w:val="009E09EF"/>
    <w:rsid w:val="009E0C53"/>
    <w:rsid w:val="009E0E1B"/>
    <w:rsid w:val="009E263E"/>
    <w:rsid w:val="009E2842"/>
    <w:rsid w:val="009E2A43"/>
    <w:rsid w:val="009E2F44"/>
    <w:rsid w:val="009E30FB"/>
    <w:rsid w:val="009E31E9"/>
    <w:rsid w:val="009E33F9"/>
    <w:rsid w:val="009E4220"/>
    <w:rsid w:val="009E4F8C"/>
    <w:rsid w:val="009E4FCA"/>
    <w:rsid w:val="009E5A0F"/>
    <w:rsid w:val="009E643A"/>
    <w:rsid w:val="009E6F26"/>
    <w:rsid w:val="009E79A2"/>
    <w:rsid w:val="009F03B5"/>
    <w:rsid w:val="009F0C8C"/>
    <w:rsid w:val="009F0E7E"/>
    <w:rsid w:val="009F122A"/>
    <w:rsid w:val="009F19AF"/>
    <w:rsid w:val="009F2251"/>
    <w:rsid w:val="009F249E"/>
    <w:rsid w:val="009F2801"/>
    <w:rsid w:val="009F307F"/>
    <w:rsid w:val="009F3080"/>
    <w:rsid w:val="009F31C1"/>
    <w:rsid w:val="009F3CD3"/>
    <w:rsid w:val="009F3E31"/>
    <w:rsid w:val="009F491D"/>
    <w:rsid w:val="009F4C1A"/>
    <w:rsid w:val="009F4FAE"/>
    <w:rsid w:val="009F5862"/>
    <w:rsid w:val="009F5B6E"/>
    <w:rsid w:val="009F626C"/>
    <w:rsid w:val="009F62D3"/>
    <w:rsid w:val="009F656A"/>
    <w:rsid w:val="009F70FF"/>
    <w:rsid w:val="009F730A"/>
    <w:rsid w:val="009F7350"/>
    <w:rsid w:val="009F786A"/>
    <w:rsid w:val="00A000BB"/>
    <w:rsid w:val="00A0084D"/>
    <w:rsid w:val="00A0113A"/>
    <w:rsid w:val="00A013B4"/>
    <w:rsid w:val="00A01E34"/>
    <w:rsid w:val="00A024DC"/>
    <w:rsid w:val="00A02664"/>
    <w:rsid w:val="00A03231"/>
    <w:rsid w:val="00A03D4A"/>
    <w:rsid w:val="00A03F39"/>
    <w:rsid w:val="00A040CB"/>
    <w:rsid w:val="00A04686"/>
    <w:rsid w:val="00A04954"/>
    <w:rsid w:val="00A04C02"/>
    <w:rsid w:val="00A04F69"/>
    <w:rsid w:val="00A05120"/>
    <w:rsid w:val="00A05253"/>
    <w:rsid w:val="00A058F1"/>
    <w:rsid w:val="00A065BC"/>
    <w:rsid w:val="00A066E1"/>
    <w:rsid w:val="00A07D3C"/>
    <w:rsid w:val="00A1060D"/>
    <w:rsid w:val="00A11070"/>
    <w:rsid w:val="00A11F76"/>
    <w:rsid w:val="00A11FF5"/>
    <w:rsid w:val="00A12FC6"/>
    <w:rsid w:val="00A12FFE"/>
    <w:rsid w:val="00A13BC7"/>
    <w:rsid w:val="00A13E1E"/>
    <w:rsid w:val="00A14539"/>
    <w:rsid w:val="00A14889"/>
    <w:rsid w:val="00A14AF5"/>
    <w:rsid w:val="00A14E94"/>
    <w:rsid w:val="00A152A3"/>
    <w:rsid w:val="00A1536F"/>
    <w:rsid w:val="00A153DF"/>
    <w:rsid w:val="00A159E5"/>
    <w:rsid w:val="00A16246"/>
    <w:rsid w:val="00A169D7"/>
    <w:rsid w:val="00A17019"/>
    <w:rsid w:val="00A17F06"/>
    <w:rsid w:val="00A209AE"/>
    <w:rsid w:val="00A20B85"/>
    <w:rsid w:val="00A20C47"/>
    <w:rsid w:val="00A21824"/>
    <w:rsid w:val="00A21BFF"/>
    <w:rsid w:val="00A239D1"/>
    <w:rsid w:val="00A23C71"/>
    <w:rsid w:val="00A24420"/>
    <w:rsid w:val="00A24BE5"/>
    <w:rsid w:val="00A25925"/>
    <w:rsid w:val="00A25B7A"/>
    <w:rsid w:val="00A26115"/>
    <w:rsid w:val="00A264DF"/>
    <w:rsid w:val="00A26E7E"/>
    <w:rsid w:val="00A274BD"/>
    <w:rsid w:val="00A27E39"/>
    <w:rsid w:val="00A30421"/>
    <w:rsid w:val="00A30570"/>
    <w:rsid w:val="00A3242C"/>
    <w:rsid w:val="00A326CD"/>
    <w:rsid w:val="00A3302A"/>
    <w:rsid w:val="00A33D17"/>
    <w:rsid w:val="00A3469D"/>
    <w:rsid w:val="00A348D5"/>
    <w:rsid w:val="00A35EAC"/>
    <w:rsid w:val="00A35EBA"/>
    <w:rsid w:val="00A36298"/>
    <w:rsid w:val="00A363E5"/>
    <w:rsid w:val="00A36497"/>
    <w:rsid w:val="00A36854"/>
    <w:rsid w:val="00A36AB3"/>
    <w:rsid w:val="00A377CD"/>
    <w:rsid w:val="00A378F8"/>
    <w:rsid w:val="00A37D64"/>
    <w:rsid w:val="00A37E82"/>
    <w:rsid w:val="00A406F7"/>
    <w:rsid w:val="00A40707"/>
    <w:rsid w:val="00A407A0"/>
    <w:rsid w:val="00A416DC"/>
    <w:rsid w:val="00A41739"/>
    <w:rsid w:val="00A41879"/>
    <w:rsid w:val="00A41948"/>
    <w:rsid w:val="00A41E5D"/>
    <w:rsid w:val="00A425B6"/>
    <w:rsid w:val="00A42F74"/>
    <w:rsid w:val="00A430BB"/>
    <w:rsid w:val="00A43D15"/>
    <w:rsid w:val="00A43D55"/>
    <w:rsid w:val="00A44547"/>
    <w:rsid w:val="00A453DB"/>
    <w:rsid w:val="00A456EE"/>
    <w:rsid w:val="00A45AA1"/>
    <w:rsid w:val="00A45C0D"/>
    <w:rsid w:val="00A45D82"/>
    <w:rsid w:val="00A45F8D"/>
    <w:rsid w:val="00A46219"/>
    <w:rsid w:val="00A46EF1"/>
    <w:rsid w:val="00A47151"/>
    <w:rsid w:val="00A51308"/>
    <w:rsid w:val="00A51841"/>
    <w:rsid w:val="00A51C48"/>
    <w:rsid w:val="00A52AA0"/>
    <w:rsid w:val="00A543D8"/>
    <w:rsid w:val="00A54B28"/>
    <w:rsid w:val="00A557D9"/>
    <w:rsid w:val="00A5593A"/>
    <w:rsid w:val="00A566BB"/>
    <w:rsid w:val="00A566E7"/>
    <w:rsid w:val="00A56D7F"/>
    <w:rsid w:val="00A56DF4"/>
    <w:rsid w:val="00A57605"/>
    <w:rsid w:val="00A57C82"/>
    <w:rsid w:val="00A604AD"/>
    <w:rsid w:val="00A605EA"/>
    <w:rsid w:val="00A613F8"/>
    <w:rsid w:val="00A61775"/>
    <w:rsid w:val="00A61786"/>
    <w:rsid w:val="00A61A00"/>
    <w:rsid w:val="00A61A49"/>
    <w:rsid w:val="00A621BE"/>
    <w:rsid w:val="00A63C2D"/>
    <w:rsid w:val="00A6445C"/>
    <w:rsid w:val="00A6455F"/>
    <w:rsid w:val="00A64935"/>
    <w:rsid w:val="00A64A16"/>
    <w:rsid w:val="00A64A26"/>
    <w:rsid w:val="00A650C0"/>
    <w:rsid w:val="00A65129"/>
    <w:rsid w:val="00A65377"/>
    <w:rsid w:val="00A65BDC"/>
    <w:rsid w:val="00A667C6"/>
    <w:rsid w:val="00A67880"/>
    <w:rsid w:val="00A67ED5"/>
    <w:rsid w:val="00A70B8F"/>
    <w:rsid w:val="00A713E3"/>
    <w:rsid w:val="00A72654"/>
    <w:rsid w:val="00A727BC"/>
    <w:rsid w:val="00A72DF1"/>
    <w:rsid w:val="00A72EC2"/>
    <w:rsid w:val="00A73545"/>
    <w:rsid w:val="00A73B77"/>
    <w:rsid w:val="00A74855"/>
    <w:rsid w:val="00A74DA1"/>
    <w:rsid w:val="00A754B7"/>
    <w:rsid w:val="00A763A7"/>
    <w:rsid w:val="00A764D1"/>
    <w:rsid w:val="00A76FD4"/>
    <w:rsid w:val="00A77552"/>
    <w:rsid w:val="00A77EF7"/>
    <w:rsid w:val="00A809FA"/>
    <w:rsid w:val="00A80A0C"/>
    <w:rsid w:val="00A819DE"/>
    <w:rsid w:val="00A82D21"/>
    <w:rsid w:val="00A836AB"/>
    <w:rsid w:val="00A858F1"/>
    <w:rsid w:val="00A86601"/>
    <w:rsid w:val="00A86997"/>
    <w:rsid w:val="00A87027"/>
    <w:rsid w:val="00A87D03"/>
    <w:rsid w:val="00A907DE"/>
    <w:rsid w:val="00A90E44"/>
    <w:rsid w:val="00A93AEF"/>
    <w:rsid w:val="00A93B57"/>
    <w:rsid w:val="00A93F9C"/>
    <w:rsid w:val="00A94360"/>
    <w:rsid w:val="00A967EC"/>
    <w:rsid w:val="00A96F34"/>
    <w:rsid w:val="00A96FC3"/>
    <w:rsid w:val="00AA0432"/>
    <w:rsid w:val="00AA0873"/>
    <w:rsid w:val="00AA0CC1"/>
    <w:rsid w:val="00AA0EC0"/>
    <w:rsid w:val="00AA117E"/>
    <w:rsid w:val="00AA13DC"/>
    <w:rsid w:val="00AA1414"/>
    <w:rsid w:val="00AA18AD"/>
    <w:rsid w:val="00AA1E33"/>
    <w:rsid w:val="00AA2496"/>
    <w:rsid w:val="00AA2E54"/>
    <w:rsid w:val="00AA3C6C"/>
    <w:rsid w:val="00AA41DF"/>
    <w:rsid w:val="00AA4D45"/>
    <w:rsid w:val="00AA4F92"/>
    <w:rsid w:val="00AA5525"/>
    <w:rsid w:val="00AA5FD2"/>
    <w:rsid w:val="00AA6039"/>
    <w:rsid w:val="00AA61D4"/>
    <w:rsid w:val="00AA627E"/>
    <w:rsid w:val="00AA72DD"/>
    <w:rsid w:val="00AB0746"/>
    <w:rsid w:val="00AB1036"/>
    <w:rsid w:val="00AB15BB"/>
    <w:rsid w:val="00AB181C"/>
    <w:rsid w:val="00AB244A"/>
    <w:rsid w:val="00AB41E7"/>
    <w:rsid w:val="00AB44B4"/>
    <w:rsid w:val="00AB4685"/>
    <w:rsid w:val="00AB5033"/>
    <w:rsid w:val="00AB5526"/>
    <w:rsid w:val="00AB5B3F"/>
    <w:rsid w:val="00AB5E82"/>
    <w:rsid w:val="00AB6268"/>
    <w:rsid w:val="00AB6531"/>
    <w:rsid w:val="00AB67C7"/>
    <w:rsid w:val="00AB6A43"/>
    <w:rsid w:val="00AB6C7D"/>
    <w:rsid w:val="00AB6F25"/>
    <w:rsid w:val="00AC0154"/>
    <w:rsid w:val="00AC0203"/>
    <w:rsid w:val="00AC0630"/>
    <w:rsid w:val="00AC114D"/>
    <w:rsid w:val="00AC16F2"/>
    <w:rsid w:val="00AC2121"/>
    <w:rsid w:val="00AC26E8"/>
    <w:rsid w:val="00AC270D"/>
    <w:rsid w:val="00AC272A"/>
    <w:rsid w:val="00AC2808"/>
    <w:rsid w:val="00AC2B30"/>
    <w:rsid w:val="00AC3316"/>
    <w:rsid w:val="00AC436A"/>
    <w:rsid w:val="00AC493F"/>
    <w:rsid w:val="00AC4F1D"/>
    <w:rsid w:val="00AC50FF"/>
    <w:rsid w:val="00AC5F4D"/>
    <w:rsid w:val="00AC7449"/>
    <w:rsid w:val="00AC7521"/>
    <w:rsid w:val="00AD0D30"/>
    <w:rsid w:val="00AD1D7C"/>
    <w:rsid w:val="00AD1FCD"/>
    <w:rsid w:val="00AD2183"/>
    <w:rsid w:val="00AD3534"/>
    <w:rsid w:val="00AD5119"/>
    <w:rsid w:val="00AD5164"/>
    <w:rsid w:val="00AD5A33"/>
    <w:rsid w:val="00AD5B74"/>
    <w:rsid w:val="00AD5BBD"/>
    <w:rsid w:val="00AD6387"/>
    <w:rsid w:val="00AD77A5"/>
    <w:rsid w:val="00AD796D"/>
    <w:rsid w:val="00AD7D3B"/>
    <w:rsid w:val="00AE028E"/>
    <w:rsid w:val="00AE0F5A"/>
    <w:rsid w:val="00AE18BF"/>
    <w:rsid w:val="00AE2589"/>
    <w:rsid w:val="00AE38B9"/>
    <w:rsid w:val="00AE47D6"/>
    <w:rsid w:val="00AE5318"/>
    <w:rsid w:val="00AE5B27"/>
    <w:rsid w:val="00AE634F"/>
    <w:rsid w:val="00AE682E"/>
    <w:rsid w:val="00AE6913"/>
    <w:rsid w:val="00AE6BD8"/>
    <w:rsid w:val="00AE700B"/>
    <w:rsid w:val="00AF0ACC"/>
    <w:rsid w:val="00AF1008"/>
    <w:rsid w:val="00AF136D"/>
    <w:rsid w:val="00AF2256"/>
    <w:rsid w:val="00AF2555"/>
    <w:rsid w:val="00AF3387"/>
    <w:rsid w:val="00AF41AB"/>
    <w:rsid w:val="00AF47BA"/>
    <w:rsid w:val="00AF5700"/>
    <w:rsid w:val="00AF5B10"/>
    <w:rsid w:val="00AF5F94"/>
    <w:rsid w:val="00AF623D"/>
    <w:rsid w:val="00AF71E1"/>
    <w:rsid w:val="00B001DB"/>
    <w:rsid w:val="00B019D2"/>
    <w:rsid w:val="00B02531"/>
    <w:rsid w:val="00B026C1"/>
    <w:rsid w:val="00B032D6"/>
    <w:rsid w:val="00B03515"/>
    <w:rsid w:val="00B03BA7"/>
    <w:rsid w:val="00B03C84"/>
    <w:rsid w:val="00B03DD6"/>
    <w:rsid w:val="00B04E1E"/>
    <w:rsid w:val="00B05D8B"/>
    <w:rsid w:val="00B05EE3"/>
    <w:rsid w:val="00B060B1"/>
    <w:rsid w:val="00B06831"/>
    <w:rsid w:val="00B07031"/>
    <w:rsid w:val="00B07BB4"/>
    <w:rsid w:val="00B07D1D"/>
    <w:rsid w:val="00B102FA"/>
    <w:rsid w:val="00B1055E"/>
    <w:rsid w:val="00B11723"/>
    <w:rsid w:val="00B11DDD"/>
    <w:rsid w:val="00B11F74"/>
    <w:rsid w:val="00B128E8"/>
    <w:rsid w:val="00B12C7B"/>
    <w:rsid w:val="00B13C2A"/>
    <w:rsid w:val="00B1523A"/>
    <w:rsid w:val="00B157E4"/>
    <w:rsid w:val="00B1606C"/>
    <w:rsid w:val="00B16355"/>
    <w:rsid w:val="00B166E8"/>
    <w:rsid w:val="00B175A0"/>
    <w:rsid w:val="00B17665"/>
    <w:rsid w:val="00B209A0"/>
    <w:rsid w:val="00B21089"/>
    <w:rsid w:val="00B21583"/>
    <w:rsid w:val="00B218B1"/>
    <w:rsid w:val="00B21B7E"/>
    <w:rsid w:val="00B22470"/>
    <w:rsid w:val="00B2260E"/>
    <w:rsid w:val="00B2283A"/>
    <w:rsid w:val="00B22DB5"/>
    <w:rsid w:val="00B22DEA"/>
    <w:rsid w:val="00B24123"/>
    <w:rsid w:val="00B243EC"/>
    <w:rsid w:val="00B247B4"/>
    <w:rsid w:val="00B24BD5"/>
    <w:rsid w:val="00B25211"/>
    <w:rsid w:val="00B2574E"/>
    <w:rsid w:val="00B26AB8"/>
    <w:rsid w:val="00B270BC"/>
    <w:rsid w:val="00B30481"/>
    <w:rsid w:val="00B30520"/>
    <w:rsid w:val="00B30A45"/>
    <w:rsid w:val="00B31150"/>
    <w:rsid w:val="00B31E48"/>
    <w:rsid w:val="00B33066"/>
    <w:rsid w:val="00B33663"/>
    <w:rsid w:val="00B33B77"/>
    <w:rsid w:val="00B33DE8"/>
    <w:rsid w:val="00B33E29"/>
    <w:rsid w:val="00B34132"/>
    <w:rsid w:val="00B34343"/>
    <w:rsid w:val="00B352DE"/>
    <w:rsid w:val="00B35DEC"/>
    <w:rsid w:val="00B35E96"/>
    <w:rsid w:val="00B36372"/>
    <w:rsid w:val="00B36C8E"/>
    <w:rsid w:val="00B37A73"/>
    <w:rsid w:val="00B37A7F"/>
    <w:rsid w:val="00B4008C"/>
    <w:rsid w:val="00B40436"/>
    <w:rsid w:val="00B40BD6"/>
    <w:rsid w:val="00B40E9D"/>
    <w:rsid w:val="00B41227"/>
    <w:rsid w:val="00B418E1"/>
    <w:rsid w:val="00B42A18"/>
    <w:rsid w:val="00B42DFC"/>
    <w:rsid w:val="00B44FBD"/>
    <w:rsid w:val="00B4528E"/>
    <w:rsid w:val="00B469FE"/>
    <w:rsid w:val="00B46EC5"/>
    <w:rsid w:val="00B46FD5"/>
    <w:rsid w:val="00B47556"/>
    <w:rsid w:val="00B5064C"/>
    <w:rsid w:val="00B516E7"/>
    <w:rsid w:val="00B5202B"/>
    <w:rsid w:val="00B528FA"/>
    <w:rsid w:val="00B52A2C"/>
    <w:rsid w:val="00B53006"/>
    <w:rsid w:val="00B5357A"/>
    <w:rsid w:val="00B539BD"/>
    <w:rsid w:val="00B53AB4"/>
    <w:rsid w:val="00B53B65"/>
    <w:rsid w:val="00B55DCC"/>
    <w:rsid w:val="00B56645"/>
    <w:rsid w:val="00B56ACC"/>
    <w:rsid w:val="00B57A7C"/>
    <w:rsid w:val="00B57BF7"/>
    <w:rsid w:val="00B6003F"/>
    <w:rsid w:val="00B607FB"/>
    <w:rsid w:val="00B61C04"/>
    <w:rsid w:val="00B61CD9"/>
    <w:rsid w:val="00B620A6"/>
    <w:rsid w:val="00B62C69"/>
    <w:rsid w:val="00B634C3"/>
    <w:rsid w:val="00B636AE"/>
    <w:rsid w:val="00B63B86"/>
    <w:rsid w:val="00B6463F"/>
    <w:rsid w:val="00B65371"/>
    <w:rsid w:val="00B65373"/>
    <w:rsid w:val="00B65440"/>
    <w:rsid w:val="00B65D7F"/>
    <w:rsid w:val="00B65E25"/>
    <w:rsid w:val="00B66141"/>
    <w:rsid w:val="00B66D48"/>
    <w:rsid w:val="00B6724E"/>
    <w:rsid w:val="00B6732D"/>
    <w:rsid w:val="00B674E7"/>
    <w:rsid w:val="00B67774"/>
    <w:rsid w:val="00B67F23"/>
    <w:rsid w:val="00B67FE0"/>
    <w:rsid w:val="00B70751"/>
    <w:rsid w:val="00B708FA"/>
    <w:rsid w:val="00B709E7"/>
    <w:rsid w:val="00B716FE"/>
    <w:rsid w:val="00B71FAD"/>
    <w:rsid w:val="00B72346"/>
    <w:rsid w:val="00B73123"/>
    <w:rsid w:val="00B738E3"/>
    <w:rsid w:val="00B73990"/>
    <w:rsid w:val="00B73A15"/>
    <w:rsid w:val="00B745A1"/>
    <w:rsid w:val="00B74E29"/>
    <w:rsid w:val="00B75816"/>
    <w:rsid w:val="00B761AC"/>
    <w:rsid w:val="00B7657F"/>
    <w:rsid w:val="00B76719"/>
    <w:rsid w:val="00B769F6"/>
    <w:rsid w:val="00B76AE3"/>
    <w:rsid w:val="00B76B0A"/>
    <w:rsid w:val="00B76F30"/>
    <w:rsid w:val="00B77186"/>
    <w:rsid w:val="00B77206"/>
    <w:rsid w:val="00B772D5"/>
    <w:rsid w:val="00B773A6"/>
    <w:rsid w:val="00B80BAC"/>
    <w:rsid w:val="00B80BB9"/>
    <w:rsid w:val="00B80D72"/>
    <w:rsid w:val="00B81753"/>
    <w:rsid w:val="00B828E9"/>
    <w:rsid w:val="00B83519"/>
    <w:rsid w:val="00B83B0F"/>
    <w:rsid w:val="00B83B1F"/>
    <w:rsid w:val="00B83CD2"/>
    <w:rsid w:val="00B84C2F"/>
    <w:rsid w:val="00B850DD"/>
    <w:rsid w:val="00B852AC"/>
    <w:rsid w:val="00B8548D"/>
    <w:rsid w:val="00B8559B"/>
    <w:rsid w:val="00B858BB"/>
    <w:rsid w:val="00B86C15"/>
    <w:rsid w:val="00B87636"/>
    <w:rsid w:val="00B87CA4"/>
    <w:rsid w:val="00B90E7C"/>
    <w:rsid w:val="00B9137F"/>
    <w:rsid w:val="00B9149E"/>
    <w:rsid w:val="00B91C5E"/>
    <w:rsid w:val="00B93806"/>
    <w:rsid w:val="00B94645"/>
    <w:rsid w:val="00B9469B"/>
    <w:rsid w:val="00B9583D"/>
    <w:rsid w:val="00B9653A"/>
    <w:rsid w:val="00B96A93"/>
    <w:rsid w:val="00B96ADE"/>
    <w:rsid w:val="00B96FA2"/>
    <w:rsid w:val="00B9731F"/>
    <w:rsid w:val="00B9754B"/>
    <w:rsid w:val="00B97D0B"/>
    <w:rsid w:val="00B97ED3"/>
    <w:rsid w:val="00BA046C"/>
    <w:rsid w:val="00BA1FDE"/>
    <w:rsid w:val="00BA25A5"/>
    <w:rsid w:val="00BA2790"/>
    <w:rsid w:val="00BA29D5"/>
    <w:rsid w:val="00BA2EF3"/>
    <w:rsid w:val="00BA4032"/>
    <w:rsid w:val="00BA4693"/>
    <w:rsid w:val="00BA477F"/>
    <w:rsid w:val="00BA5549"/>
    <w:rsid w:val="00BA723F"/>
    <w:rsid w:val="00BA7332"/>
    <w:rsid w:val="00BA738F"/>
    <w:rsid w:val="00BA77BB"/>
    <w:rsid w:val="00BA7F63"/>
    <w:rsid w:val="00BB064C"/>
    <w:rsid w:val="00BB123A"/>
    <w:rsid w:val="00BB1671"/>
    <w:rsid w:val="00BB195A"/>
    <w:rsid w:val="00BB2995"/>
    <w:rsid w:val="00BB366B"/>
    <w:rsid w:val="00BB36FA"/>
    <w:rsid w:val="00BB3783"/>
    <w:rsid w:val="00BB37EF"/>
    <w:rsid w:val="00BB39B0"/>
    <w:rsid w:val="00BB4BFD"/>
    <w:rsid w:val="00BB5271"/>
    <w:rsid w:val="00BB53C2"/>
    <w:rsid w:val="00BB561C"/>
    <w:rsid w:val="00BB62A7"/>
    <w:rsid w:val="00BB67A8"/>
    <w:rsid w:val="00BB6870"/>
    <w:rsid w:val="00BB74C9"/>
    <w:rsid w:val="00BB761E"/>
    <w:rsid w:val="00BC0892"/>
    <w:rsid w:val="00BC0C8F"/>
    <w:rsid w:val="00BC0D2D"/>
    <w:rsid w:val="00BC0F67"/>
    <w:rsid w:val="00BC1B98"/>
    <w:rsid w:val="00BC258F"/>
    <w:rsid w:val="00BC25CA"/>
    <w:rsid w:val="00BC2CD2"/>
    <w:rsid w:val="00BC3078"/>
    <w:rsid w:val="00BC3107"/>
    <w:rsid w:val="00BC3278"/>
    <w:rsid w:val="00BC3FAC"/>
    <w:rsid w:val="00BC4B8F"/>
    <w:rsid w:val="00BC4C05"/>
    <w:rsid w:val="00BC511F"/>
    <w:rsid w:val="00BC54A2"/>
    <w:rsid w:val="00BC6FF4"/>
    <w:rsid w:val="00BC74CD"/>
    <w:rsid w:val="00BC7B70"/>
    <w:rsid w:val="00BC7DFD"/>
    <w:rsid w:val="00BD08A1"/>
    <w:rsid w:val="00BD0C6C"/>
    <w:rsid w:val="00BD0D76"/>
    <w:rsid w:val="00BD0E89"/>
    <w:rsid w:val="00BD1229"/>
    <w:rsid w:val="00BD1502"/>
    <w:rsid w:val="00BD1730"/>
    <w:rsid w:val="00BD18CB"/>
    <w:rsid w:val="00BD19A0"/>
    <w:rsid w:val="00BD1AEB"/>
    <w:rsid w:val="00BD1C60"/>
    <w:rsid w:val="00BD266C"/>
    <w:rsid w:val="00BD27BA"/>
    <w:rsid w:val="00BD3E15"/>
    <w:rsid w:val="00BD4423"/>
    <w:rsid w:val="00BD4938"/>
    <w:rsid w:val="00BD4A51"/>
    <w:rsid w:val="00BD531B"/>
    <w:rsid w:val="00BD5931"/>
    <w:rsid w:val="00BD5DA7"/>
    <w:rsid w:val="00BD6F96"/>
    <w:rsid w:val="00BD790C"/>
    <w:rsid w:val="00BD7C27"/>
    <w:rsid w:val="00BD7C51"/>
    <w:rsid w:val="00BD7F8A"/>
    <w:rsid w:val="00BE02DA"/>
    <w:rsid w:val="00BE060F"/>
    <w:rsid w:val="00BE1302"/>
    <w:rsid w:val="00BE14A7"/>
    <w:rsid w:val="00BE1E12"/>
    <w:rsid w:val="00BE20B2"/>
    <w:rsid w:val="00BE37D6"/>
    <w:rsid w:val="00BE3CEF"/>
    <w:rsid w:val="00BE45FE"/>
    <w:rsid w:val="00BE4A42"/>
    <w:rsid w:val="00BE64EE"/>
    <w:rsid w:val="00BF0282"/>
    <w:rsid w:val="00BF08BD"/>
    <w:rsid w:val="00BF0A3E"/>
    <w:rsid w:val="00BF0DE9"/>
    <w:rsid w:val="00BF0DFD"/>
    <w:rsid w:val="00BF0E12"/>
    <w:rsid w:val="00BF1128"/>
    <w:rsid w:val="00BF1D5D"/>
    <w:rsid w:val="00BF2D42"/>
    <w:rsid w:val="00BF2DEC"/>
    <w:rsid w:val="00BF3280"/>
    <w:rsid w:val="00BF41C7"/>
    <w:rsid w:val="00BF433E"/>
    <w:rsid w:val="00BF47CF"/>
    <w:rsid w:val="00BF4A9E"/>
    <w:rsid w:val="00BF59AD"/>
    <w:rsid w:val="00BF5D1D"/>
    <w:rsid w:val="00BF6BE7"/>
    <w:rsid w:val="00BF6CED"/>
    <w:rsid w:val="00BF7587"/>
    <w:rsid w:val="00BF79D2"/>
    <w:rsid w:val="00BF7F31"/>
    <w:rsid w:val="00C00486"/>
    <w:rsid w:val="00C00CB3"/>
    <w:rsid w:val="00C01672"/>
    <w:rsid w:val="00C0199B"/>
    <w:rsid w:val="00C01B4A"/>
    <w:rsid w:val="00C024C7"/>
    <w:rsid w:val="00C02A97"/>
    <w:rsid w:val="00C02CBF"/>
    <w:rsid w:val="00C03548"/>
    <w:rsid w:val="00C03648"/>
    <w:rsid w:val="00C04573"/>
    <w:rsid w:val="00C05673"/>
    <w:rsid w:val="00C07D5E"/>
    <w:rsid w:val="00C1396B"/>
    <w:rsid w:val="00C13E50"/>
    <w:rsid w:val="00C143CB"/>
    <w:rsid w:val="00C14603"/>
    <w:rsid w:val="00C1556A"/>
    <w:rsid w:val="00C16B6D"/>
    <w:rsid w:val="00C16D14"/>
    <w:rsid w:val="00C174BC"/>
    <w:rsid w:val="00C17719"/>
    <w:rsid w:val="00C20AB7"/>
    <w:rsid w:val="00C20DFE"/>
    <w:rsid w:val="00C21169"/>
    <w:rsid w:val="00C21846"/>
    <w:rsid w:val="00C21867"/>
    <w:rsid w:val="00C21A85"/>
    <w:rsid w:val="00C21D14"/>
    <w:rsid w:val="00C225DB"/>
    <w:rsid w:val="00C2264A"/>
    <w:rsid w:val="00C23429"/>
    <w:rsid w:val="00C235BD"/>
    <w:rsid w:val="00C235EF"/>
    <w:rsid w:val="00C2363F"/>
    <w:rsid w:val="00C23C97"/>
    <w:rsid w:val="00C2407B"/>
    <w:rsid w:val="00C24711"/>
    <w:rsid w:val="00C24B09"/>
    <w:rsid w:val="00C26137"/>
    <w:rsid w:val="00C26B46"/>
    <w:rsid w:val="00C26D5A"/>
    <w:rsid w:val="00C26D92"/>
    <w:rsid w:val="00C272D9"/>
    <w:rsid w:val="00C2735F"/>
    <w:rsid w:val="00C301B7"/>
    <w:rsid w:val="00C30245"/>
    <w:rsid w:val="00C3065C"/>
    <w:rsid w:val="00C30CE6"/>
    <w:rsid w:val="00C31098"/>
    <w:rsid w:val="00C31436"/>
    <w:rsid w:val="00C31507"/>
    <w:rsid w:val="00C3216B"/>
    <w:rsid w:val="00C32473"/>
    <w:rsid w:val="00C325D4"/>
    <w:rsid w:val="00C32686"/>
    <w:rsid w:val="00C33724"/>
    <w:rsid w:val="00C33DEC"/>
    <w:rsid w:val="00C33E81"/>
    <w:rsid w:val="00C349F1"/>
    <w:rsid w:val="00C3578B"/>
    <w:rsid w:val="00C36550"/>
    <w:rsid w:val="00C3736A"/>
    <w:rsid w:val="00C37559"/>
    <w:rsid w:val="00C37647"/>
    <w:rsid w:val="00C37D98"/>
    <w:rsid w:val="00C40766"/>
    <w:rsid w:val="00C422C3"/>
    <w:rsid w:val="00C4282E"/>
    <w:rsid w:val="00C429AF"/>
    <w:rsid w:val="00C4337B"/>
    <w:rsid w:val="00C4343D"/>
    <w:rsid w:val="00C439BF"/>
    <w:rsid w:val="00C439FD"/>
    <w:rsid w:val="00C44006"/>
    <w:rsid w:val="00C450C7"/>
    <w:rsid w:val="00C45138"/>
    <w:rsid w:val="00C451C3"/>
    <w:rsid w:val="00C458F8"/>
    <w:rsid w:val="00C45984"/>
    <w:rsid w:val="00C45DDB"/>
    <w:rsid w:val="00C46DF2"/>
    <w:rsid w:val="00C5006B"/>
    <w:rsid w:val="00C51A62"/>
    <w:rsid w:val="00C51AD1"/>
    <w:rsid w:val="00C52109"/>
    <w:rsid w:val="00C52669"/>
    <w:rsid w:val="00C5298F"/>
    <w:rsid w:val="00C52B7F"/>
    <w:rsid w:val="00C52BCE"/>
    <w:rsid w:val="00C530EE"/>
    <w:rsid w:val="00C53218"/>
    <w:rsid w:val="00C535DE"/>
    <w:rsid w:val="00C53E4F"/>
    <w:rsid w:val="00C53F0A"/>
    <w:rsid w:val="00C5407F"/>
    <w:rsid w:val="00C5469A"/>
    <w:rsid w:val="00C55284"/>
    <w:rsid w:val="00C5558D"/>
    <w:rsid w:val="00C5600F"/>
    <w:rsid w:val="00C5606E"/>
    <w:rsid w:val="00C56585"/>
    <w:rsid w:val="00C56CB2"/>
    <w:rsid w:val="00C609CB"/>
    <w:rsid w:val="00C61F91"/>
    <w:rsid w:val="00C621B2"/>
    <w:rsid w:val="00C6256B"/>
    <w:rsid w:val="00C62B7A"/>
    <w:rsid w:val="00C63037"/>
    <w:rsid w:val="00C6385C"/>
    <w:rsid w:val="00C63C1F"/>
    <w:rsid w:val="00C64099"/>
    <w:rsid w:val="00C640EB"/>
    <w:rsid w:val="00C64269"/>
    <w:rsid w:val="00C64F03"/>
    <w:rsid w:val="00C65CC8"/>
    <w:rsid w:val="00C65D95"/>
    <w:rsid w:val="00C66344"/>
    <w:rsid w:val="00C67CEB"/>
    <w:rsid w:val="00C67EDC"/>
    <w:rsid w:val="00C70F3F"/>
    <w:rsid w:val="00C712B5"/>
    <w:rsid w:val="00C713B8"/>
    <w:rsid w:val="00C71650"/>
    <w:rsid w:val="00C71809"/>
    <w:rsid w:val="00C72703"/>
    <w:rsid w:val="00C72B3A"/>
    <w:rsid w:val="00C72D00"/>
    <w:rsid w:val="00C73328"/>
    <w:rsid w:val="00C74063"/>
    <w:rsid w:val="00C7469C"/>
    <w:rsid w:val="00C75DAB"/>
    <w:rsid w:val="00C76BD5"/>
    <w:rsid w:val="00C77774"/>
    <w:rsid w:val="00C778A7"/>
    <w:rsid w:val="00C77F40"/>
    <w:rsid w:val="00C80003"/>
    <w:rsid w:val="00C80975"/>
    <w:rsid w:val="00C8157E"/>
    <w:rsid w:val="00C825D4"/>
    <w:rsid w:val="00C82F60"/>
    <w:rsid w:val="00C83795"/>
    <w:rsid w:val="00C839A0"/>
    <w:rsid w:val="00C83B1D"/>
    <w:rsid w:val="00C83FDF"/>
    <w:rsid w:val="00C850BD"/>
    <w:rsid w:val="00C859C0"/>
    <w:rsid w:val="00C866AA"/>
    <w:rsid w:val="00C86709"/>
    <w:rsid w:val="00C86C9A"/>
    <w:rsid w:val="00C87083"/>
    <w:rsid w:val="00C875F7"/>
    <w:rsid w:val="00C87C08"/>
    <w:rsid w:val="00C90005"/>
    <w:rsid w:val="00C9003F"/>
    <w:rsid w:val="00C90636"/>
    <w:rsid w:val="00C909D8"/>
    <w:rsid w:val="00C9176F"/>
    <w:rsid w:val="00C91C5B"/>
    <w:rsid w:val="00C91CC8"/>
    <w:rsid w:val="00C920C4"/>
    <w:rsid w:val="00C927C1"/>
    <w:rsid w:val="00C932B0"/>
    <w:rsid w:val="00C93A4E"/>
    <w:rsid w:val="00C93CF5"/>
    <w:rsid w:val="00C94590"/>
    <w:rsid w:val="00C94740"/>
    <w:rsid w:val="00C9476C"/>
    <w:rsid w:val="00C951C9"/>
    <w:rsid w:val="00C965AF"/>
    <w:rsid w:val="00C96CDA"/>
    <w:rsid w:val="00C96F71"/>
    <w:rsid w:val="00C97027"/>
    <w:rsid w:val="00CA1748"/>
    <w:rsid w:val="00CA1EC9"/>
    <w:rsid w:val="00CA1F37"/>
    <w:rsid w:val="00CA28F1"/>
    <w:rsid w:val="00CA2B32"/>
    <w:rsid w:val="00CA33CC"/>
    <w:rsid w:val="00CA3514"/>
    <w:rsid w:val="00CA368A"/>
    <w:rsid w:val="00CA4010"/>
    <w:rsid w:val="00CA4FE1"/>
    <w:rsid w:val="00CA50EC"/>
    <w:rsid w:val="00CA5513"/>
    <w:rsid w:val="00CA57AC"/>
    <w:rsid w:val="00CA59C3"/>
    <w:rsid w:val="00CA7F29"/>
    <w:rsid w:val="00CB0CC1"/>
    <w:rsid w:val="00CB14B6"/>
    <w:rsid w:val="00CB15EC"/>
    <w:rsid w:val="00CB16EA"/>
    <w:rsid w:val="00CB17C0"/>
    <w:rsid w:val="00CB1B0A"/>
    <w:rsid w:val="00CB221A"/>
    <w:rsid w:val="00CB26FC"/>
    <w:rsid w:val="00CB2A31"/>
    <w:rsid w:val="00CB328E"/>
    <w:rsid w:val="00CB3497"/>
    <w:rsid w:val="00CB35AA"/>
    <w:rsid w:val="00CB3692"/>
    <w:rsid w:val="00CB3AF2"/>
    <w:rsid w:val="00CB3EFD"/>
    <w:rsid w:val="00CB4337"/>
    <w:rsid w:val="00CB4C52"/>
    <w:rsid w:val="00CB4C81"/>
    <w:rsid w:val="00CB4DE3"/>
    <w:rsid w:val="00CB51F7"/>
    <w:rsid w:val="00CB5C12"/>
    <w:rsid w:val="00CB6351"/>
    <w:rsid w:val="00CB64C0"/>
    <w:rsid w:val="00CB6D0B"/>
    <w:rsid w:val="00CB7524"/>
    <w:rsid w:val="00CB78D6"/>
    <w:rsid w:val="00CB7CC3"/>
    <w:rsid w:val="00CB7F5F"/>
    <w:rsid w:val="00CC035F"/>
    <w:rsid w:val="00CC0DFD"/>
    <w:rsid w:val="00CC1104"/>
    <w:rsid w:val="00CC152D"/>
    <w:rsid w:val="00CC1CF2"/>
    <w:rsid w:val="00CC22D0"/>
    <w:rsid w:val="00CC2559"/>
    <w:rsid w:val="00CC320F"/>
    <w:rsid w:val="00CC57DF"/>
    <w:rsid w:val="00CC5917"/>
    <w:rsid w:val="00CC60AF"/>
    <w:rsid w:val="00CC62A2"/>
    <w:rsid w:val="00CC62E9"/>
    <w:rsid w:val="00CC68E1"/>
    <w:rsid w:val="00CC6FF4"/>
    <w:rsid w:val="00CC728F"/>
    <w:rsid w:val="00CC781E"/>
    <w:rsid w:val="00CC796C"/>
    <w:rsid w:val="00CC7D36"/>
    <w:rsid w:val="00CC7E29"/>
    <w:rsid w:val="00CD00CA"/>
    <w:rsid w:val="00CD0128"/>
    <w:rsid w:val="00CD06B7"/>
    <w:rsid w:val="00CD17C6"/>
    <w:rsid w:val="00CD20E4"/>
    <w:rsid w:val="00CD21EA"/>
    <w:rsid w:val="00CD28CE"/>
    <w:rsid w:val="00CD2BD3"/>
    <w:rsid w:val="00CD3998"/>
    <w:rsid w:val="00CD476C"/>
    <w:rsid w:val="00CD48DF"/>
    <w:rsid w:val="00CD50CD"/>
    <w:rsid w:val="00CD51F8"/>
    <w:rsid w:val="00CD572C"/>
    <w:rsid w:val="00CD584B"/>
    <w:rsid w:val="00CD6300"/>
    <w:rsid w:val="00CD6524"/>
    <w:rsid w:val="00CD6FE4"/>
    <w:rsid w:val="00CE052B"/>
    <w:rsid w:val="00CE071B"/>
    <w:rsid w:val="00CE08E2"/>
    <w:rsid w:val="00CE0D29"/>
    <w:rsid w:val="00CE1318"/>
    <w:rsid w:val="00CE1651"/>
    <w:rsid w:val="00CE1A76"/>
    <w:rsid w:val="00CE1A93"/>
    <w:rsid w:val="00CE27A9"/>
    <w:rsid w:val="00CE3127"/>
    <w:rsid w:val="00CE38CD"/>
    <w:rsid w:val="00CE4402"/>
    <w:rsid w:val="00CE4830"/>
    <w:rsid w:val="00CE537F"/>
    <w:rsid w:val="00CE576E"/>
    <w:rsid w:val="00CE6336"/>
    <w:rsid w:val="00CE6716"/>
    <w:rsid w:val="00CE6AD6"/>
    <w:rsid w:val="00CE7215"/>
    <w:rsid w:val="00CE7363"/>
    <w:rsid w:val="00CE7657"/>
    <w:rsid w:val="00CF02FA"/>
    <w:rsid w:val="00CF1674"/>
    <w:rsid w:val="00CF1BC3"/>
    <w:rsid w:val="00CF1D8D"/>
    <w:rsid w:val="00CF20EB"/>
    <w:rsid w:val="00CF2E3D"/>
    <w:rsid w:val="00CF348B"/>
    <w:rsid w:val="00CF3D80"/>
    <w:rsid w:val="00CF3EF6"/>
    <w:rsid w:val="00CF42D3"/>
    <w:rsid w:val="00CF4B1B"/>
    <w:rsid w:val="00CF5200"/>
    <w:rsid w:val="00CF528E"/>
    <w:rsid w:val="00CF6285"/>
    <w:rsid w:val="00D00360"/>
    <w:rsid w:val="00D00D1F"/>
    <w:rsid w:val="00D01770"/>
    <w:rsid w:val="00D01EFE"/>
    <w:rsid w:val="00D024A3"/>
    <w:rsid w:val="00D027F7"/>
    <w:rsid w:val="00D02F6D"/>
    <w:rsid w:val="00D030D5"/>
    <w:rsid w:val="00D03422"/>
    <w:rsid w:val="00D03980"/>
    <w:rsid w:val="00D041EE"/>
    <w:rsid w:val="00D05030"/>
    <w:rsid w:val="00D05FB3"/>
    <w:rsid w:val="00D06676"/>
    <w:rsid w:val="00D07167"/>
    <w:rsid w:val="00D07A8E"/>
    <w:rsid w:val="00D07E71"/>
    <w:rsid w:val="00D1003E"/>
    <w:rsid w:val="00D10D74"/>
    <w:rsid w:val="00D111C5"/>
    <w:rsid w:val="00D120A0"/>
    <w:rsid w:val="00D121B8"/>
    <w:rsid w:val="00D1242C"/>
    <w:rsid w:val="00D12467"/>
    <w:rsid w:val="00D129F0"/>
    <w:rsid w:val="00D1332B"/>
    <w:rsid w:val="00D13430"/>
    <w:rsid w:val="00D149AD"/>
    <w:rsid w:val="00D14AB9"/>
    <w:rsid w:val="00D14BD9"/>
    <w:rsid w:val="00D14D40"/>
    <w:rsid w:val="00D15183"/>
    <w:rsid w:val="00D152EA"/>
    <w:rsid w:val="00D155F3"/>
    <w:rsid w:val="00D1591F"/>
    <w:rsid w:val="00D15F0A"/>
    <w:rsid w:val="00D169B5"/>
    <w:rsid w:val="00D170BB"/>
    <w:rsid w:val="00D172B9"/>
    <w:rsid w:val="00D174FD"/>
    <w:rsid w:val="00D17C24"/>
    <w:rsid w:val="00D20AC3"/>
    <w:rsid w:val="00D21408"/>
    <w:rsid w:val="00D214D7"/>
    <w:rsid w:val="00D21755"/>
    <w:rsid w:val="00D220C3"/>
    <w:rsid w:val="00D2225D"/>
    <w:rsid w:val="00D2228E"/>
    <w:rsid w:val="00D23395"/>
    <w:rsid w:val="00D23BE4"/>
    <w:rsid w:val="00D23FE7"/>
    <w:rsid w:val="00D24010"/>
    <w:rsid w:val="00D252ED"/>
    <w:rsid w:val="00D25309"/>
    <w:rsid w:val="00D2542C"/>
    <w:rsid w:val="00D25C4E"/>
    <w:rsid w:val="00D26A9E"/>
    <w:rsid w:val="00D2720A"/>
    <w:rsid w:val="00D30C94"/>
    <w:rsid w:val="00D31448"/>
    <w:rsid w:val="00D31B5A"/>
    <w:rsid w:val="00D324E6"/>
    <w:rsid w:val="00D32D18"/>
    <w:rsid w:val="00D331A1"/>
    <w:rsid w:val="00D336FD"/>
    <w:rsid w:val="00D338F0"/>
    <w:rsid w:val="00D33CAC"/>
    <w:rsid w:val="00D33E5F"/>
    <w:rsid w:val="00D346A4"/>
    <w:rsid w:val="00D348B3"/>
    <w:rsid w:val="00D35526"/>
    <w:rsid w:val="00D36CFC"/>
    <w:rsid w:val="00D370C2"/>
    <w:rsid w:val="00D37262"/>
    <w:rsid w:val="00D37710"/>
    <w:rsid w:val="00D37DCB"/>
    <w:rsid w:val="00D37F49"/>
    <w:rsid w:val="00D40050"/>
    <w:rsid w:val="00D407BF"/>
    <w:rsid w:val="00D418BE"/>
    <w:rsid w:val="00D42251"/>
    <w:rsid w:val="00D42464"/>
    <w:rsid w:val="00D42493"/>
    <w:rsid w:val="00D4269A"/>
    <w:rsid w:val="00D4328A"/>
    <w:rsid w:val="00D433FF"/>
    <w:rsid w:val="00D4378D"/>
    <w:rsid w:val="00D43A03"/>
    <w:rsid w:val="00D4436A"/>
    <w:rsid w:val="00D44D13"/>
    <w:rsid w:val="00D452B8"/>
    <w:rsid w:val="00D452C1"/>
    <w:rsid w:val="00D45790"/>
    <w:rsid w:val="00D45A20"/>
    <w:rsid w:val="00D45ECE"/>
    <w:rsid w:val="00D46097"/>
    <w:rsid w:val="00D46779"/>
    <w:rsid w:val="00D469D4"/>
    <w:rsid w:val="00D46B74"/>
    <w:rsid w:val="00D46FAA"/>
    <w:rsid w:val="00D47083"/>
    <w:rsid w:val="00D47117"/>
    <w:rsid w:val="00D47B37"/>
    <w:rsid w:val="00D47C94"/>
    <w:rsid w:val="00D50A44"/>
    <w:rsid w:val="00D50EE8"/>
    <w:rsid w:val="00D51288"/>
    <w:rsid w:val="00D51522"/>
    <w:rsid w:val="00D515A9"/>
    <w:rsid w:val="00D51A7D"/>
    <w:rsid w:val="00D51CC5"/>
    <w:rsid w:val="00D51F44"/>
    <w:rsid w:val="00D5233F"/>
    <w:rsid w:val="00D53688"/>
    <w:rsid w:val="00D53BD1"/>
    <w:rsid w:val="00D53E77"/>
    <w:rsid w:val="00D54561"/>
    <w:rsid w:val="00D54E5C"/>
    <w:rsid w:val="00D56929"/>
    <w:rsid w:val="00D57AB1"/>
    <w:rsid w:val="00D57AD6"/>
    <w:rsid w:val="00D611EB"/>
    <w:rsid w:val="00D61777"/>
    <w:rsid w:val="00D621DE"/>
    <w:rsid w:val="00D62309"/>
    <w:rsid w:val="00D6233F"/>
    <w:rsid w:val="00D6269F"/>
    <w:rsid w:val="00D629FB"/>
    <w:rsid w:val="00D62B90"/>
    <w:rsid w:val="00D62CB6"/>
    <w:rsid w:val="00D6322E"/>
    <w:rsid w:val="00D63768"/>
    <w:rsid w:val="00D63B01"/>
    <w:rsid w:val="00D64501"/>
    <w:rsid w:val="00D656E1"/>
    <w:rsid w:val="00D65D0F"/>
    <w:rsid w:val="00D661D7"/>
    <w:rsid w:val="00D66581"/>
    <w:rsid w:val="00D670B2"/>
    <w:rsid w:val="00D67F05"/>
    <w:rsid w:val="00D70F79"/>
    <w:rsid w:val="00D7187D"/>
    <w:rsid w:val="00D719AD"/>
    <w:rsid w:val="00D723A8"/>
    <w:rsid w:val="00D7240A"/>
    <w:rsid w:val="00D726D8"/>
    <w:rsid w:val="00D744AA"/>
    <w:rsid w:val="00D7487A"/>
    <w:rsid w:val="00D74AE6"/>
    <w:rsid w:val="00D75667"/>
    <w:rsid w:val="00D759E9"/>
    <w:rsid w:val="00D76A35"/>
    <w:rsid w:val="00D7760D"/>
    <w:rsid w:val="00D8020F"/>
    <w:rsid w:val="00D80547"/>
    <w:rsid w:val="00D80B64"/>
    <w:rsid w:val="00D812C4"/>
    <w:rsid w:val="00D81528"/>
    <w:rsid w:val="00D81F0E"/>
    <w:rsid w:val="00D842DC"/>
    <w:rsid w:val="00D8444C"/>
    <w:rsid w:val="00D844BD"/>
    <w:rsid w:val="00D8509D"/>
    <w:rsid w:val="00D85186"/>
    <w:rsid w:val="00D85B03"/>
    <w:rsid w:val="00D86B45"/>
    <w:rsid w:val="00D86D52"/>
    <w:rsid w:val="00D86DC9"/>
    <w:rsid w:val="00D86FEA"/>
    <w:rsid w:val="00D87E87"/>
    <w:rsid w:val="00D90C09"/>
    <w:rsid w:val="00D90DF7"/>
    <w:rsid w:val="00D9157C"/>
    <w:rsid w:val="00D915D6"/>
    <w:rsid w:val="00D92082"/>
    <w:rsid w:val="00D921B8"/>
    <w:rsid w:val="00D92276"/>
    <w:rsid w:val="00D92B06"/>
    <w:rsid w:val="00D92C3A"/>
    <w:rsid w:val="00D9342E"/>
    <w:rsid w:val="00D94EA0"/>
    <w:rsid w:val="00DA0688"/>
    <w:rsid w:val="00DA0B21"/>
    <w:rsid w:val="00DA1044"/>
    <w:rsid w:val="00DA28F8"/>
    <w:rsid w:val="00DA2A66"/>
    <w:rsid w:val="00DA2BB0"/>
    <w:rsid w:val="00DA2D04"/>
    <w:rsid w:val="00DA30BE"/>
    <w:rsid w:val="00DA35F2"/>
    <w:rsid w:val="00DA3EED"/>
    <w:rsid w:val="00DA3FEE"/>
    <w:rsid w:val="00DA408C"/>
    <w:rsid w:val="00DA4710"/>
    <w:rsid w:val="00DA7648"/>
    <w:rsid w:val="00DA791E"/>
    <w:rsid w:val="00DB03F6"/>
    <w:rsid w:val="00DB0C3D"/>
    <w:rsid w:val="00DB1203"/>
    <w:rsid w:val="00DB1C7D"/>
    <w:rsid w:val="00DB1E87"/>
    <w:rsid w:val="00DB2209"/>
    <w:rsid w:val="00DB2307"/>
    <w:rsid w:val="00DB2677"/>
    <w:rsid w:val="00DB2F28"/>
    <w:rsid w:val="00DB3CD0"/>
    <w:rsid w:val="00DB3CE0"/>
    <w:rsid w:val="00DB3F93"/>
    <w:rsid w:val="00DB4981"/>
    <w:rsid w:val="00DB49DD"/>
    <w:rsid w:val="00DB4DD4"/>
    <w:rsid w:val="00DB4FAA"/>
    <w:rsid w:val="00DB53BA"/>
    <w:rsid w:val="00DB5813"/>
    <w:rsid w:val="00DB58C1"/>
    <w:rsid w:val="00DB67E2"/>
    <w:rsid w:val="00DB6F99"/>
    <w:rsid w:val="00DB74C0"/>
    <w:rsid w:val="00DB770D"/>
    <w:rsid w:val="00DB7B19"/>
    <w:rsid w:val="00DB7CE4"/>
    <w:rsid w:val="00DB7DE2"/>
    <w:rsid w:val="00DC0E67"/>
    <w:rsid w:val="00DC1151"/>
    <w:rsid w:val="00DC1255"/>
    <w:rsid w:val="00DC1477"/>
    <w:rsid w:val="00DC167F"/>
    <w:rsid w:val="00DC18C6"/>
    <w:rsid w:val="00DC1C4C"/>
    <w:rsid w:val="00DC24E2"/>
    <w:rsid w:val="00DC33B8"/>
    <w:rsid w:val="00DC34C0"/>
    <w:rsid w:val="00DC369E"/>
    <w:rsid w:val="00DC4060"/>
    <w:rsid w:val="00DC4D47"/>
    <w:rsid w:val="00DC5C2A"/>
    <w:rsid w:val="00DC67C2"/>
    <w:rsid w:val="00DC6907"/>
    <w:rsid w:val="00DD0186"/>
    <w:rsid w:val="00DD0954"/>
    <w:rsid w:val="00DD1E6D"/>
    <w:rsid w:val="00DD1F60"/>
    <w:rsid w:val="00DD2F08"/>
    <w:rsid w:val="00DD345B"/>
    <w:rsid w:val="00DD3E26"/>
    <w:rsid w:val="00DD3F5B"/>
    <w:rsid w:val="00DD4452"/>
    <w:rsid w:val="00DD4DFE"/>
    <w:rsid w:val="00DD5D6E"/>
    <w:rsid w:val="00DD68F6"/>
    <w:rsid w:val="00DD793D"/>
    <w:rsid w:val="00DE04CB"/>
    <w:rsid w:val="00DE2A55"/>
    <w:rsid w:val="00DE2AB4"/>
    <w:rsid w:val="00DE36F4"/>
    <w:rsid w:val="00DE4675"/>
    <w:rsid w:val="00DE49AE"/>
    <w:rsid w:val="00DE545D"/>
    <w:rsid w:val="00DE5922"/>
    <w:rsid w:val="00DE5B98"/>
    <w:rsid w:val="00DE61A1"/>
    <w:rsid w:val="00DE62C8"/>
    <w:rsid w:val="00DE6B69"/>
    <w:rsid w:val="00DE7634"/>
    <w:rsid w:val="00DE7EA9"/>
    <w:rsid w:val="00DF0EAF"/>
    <w:rsid w:val="00DF15C6"/>
    <w:rsid w:val="00DF1A06"/>
    <w:rsid w:val="00DF2240"/>
    <w:rsid w:val="00DF22BB"/>
    <w:rsid w:val="00DF2F41"/>
    <w:rsid w:val="00DF3129"/>
    <w:rsid w:val="00DF3BCD"/>
    <w:rsid w:val="00DF4742"/>
    <w:rsid w:val="00DF4F9E"/>
    <w:rsid w:val="00DF5184"/>
    <w:rsid w:val="00DF7743"/>
    <w:rsid w:val="00DF784E"/>
    <w:rsid w:val="00E0005D"/>
    <w:rsid w:val="00E00A38"/>
    <w:rsid w:val="00E01C76"/>
    <w:rsid w:val="00E021FA"/>
    <w:rsid w:val="00E031F0"/>
    <w:rsid w:val="00E03504"/>
    <w:rsid w:val="00E0438B"/>
    <w:rsid w:val="00E049DF"/>
    <w:rsid w:val="00E04E1A"/>
    <w:rsid w:val="00E057DB"/>
    <w:rsid w:val="00E06A42"/>
    <w:rsid w:val="00E073A2"/>
    <w:rsid w:val="00E07CD9"/>
    <w:rsid w:val="00E10245"/>
    <w:rsid w:val="00E1039A"/>
    <w:rsid w:val="00E1082D"/>
    <w:rsid w:val="00E1104A"/>
    <w:rsid w:val="00E118CE"/>
    <w:rsid w:val="00E11E62"/>
    <w:rsid w:val="00E12110"/>
    <w:rsid w:val="00E1223A"/>
    <w:rsid w:val="00E12A56"/>
    <w:rsid w:val="00E12B2C"/>
    <w:rsid w:val="00E13A01"/>
    <w:rsid w:val="00E13C29"/>
    <w:rsid w:val="00E1446F"/>
    <w:rsid w:val="00E166AF"/>
    <w:rsid w:val="00E171A0"/>
    <w:rsid w:val="00E17379"/>
    <w:rsid w:val="00E177A3"/>
    <w:rsid w:val="00E17A9E"/>
    <w:rsid w:val="00E17F1E"/>
    <w:rsid w:val="00E20B60"/>
    <w:rsid w:val="00E20D9D"/>
    <w:rsid w:val="00E222D8"/>
    <w:rsid w:val="00E223E5"/>
    <w:rsid w:val="00E22A39"/>
    <w:rsid w:val="00E22A64"/>
    <w:rsid w:val="00E23328"/>
    <w:rsid w:val="00E23362"/>
    <w:rsid w:val="00E2337B"/>
    <w:rsid w:val="00E24592"/>
    <w:rsid w:val="00E24F63"/>
    <w:rsid w:val="00E24FA5"/>
    <w:rsid w:val="00E24FA7"/>
    <w:rsid w:val="00E25583"/>
    <w:rsid w:val="00E256F9"/>
    <w:rsid w:val="00E25C26"/>
    <w:rsid w:val="00E26714"/>
    <w:rsid w:val="00E26DCB"/>
    <w:rsid w:val="00E26F9D"/>
    <w:rsid w:val="00E2722E"/>
    <w:rsid w:val="00E27963"/>
    <w:rsid w:val="00E31463"/>
    <w:rsid w:val="00E33331"/>
    <w:rsid w:val="00E33598"/>
    <w:rsid w:val="00E33C84"/>
    <w:rsid w:val="00E33DB6"/>
    <w:rsid w:val="00E3446A"/>
    <w:rsid w:val="00E351A9"/>
    <w:rsid w:val="00E358FB"/>
    <w:rsid w:val="00E35CFB"/>
    <w:rsid w:val="00E36B26"/>
    <w:rsid w:val="00E36EE9"/>
    <w:rsid w:val="00E3735F"/>
    <w:rsid w:val="00E37458"/>
    <w:rsid w:val="00E374F4"/>
    <w:rsid w:val="00E37869"/>
    <w:rsid w:val="00E407F2"/>
    <w:rsid w:val="00E41A56"/>
    <w:rsid w:val="00E42F21"/>
    <w:rsid w:val="00E461E9"/>
    <w:rsid w:val="00E46C1A"/>
    <w:rsid w:val="00E46D4D"/>
    <w:rsid w:val="00E47107"/>
    <w:rsid w:val="00E47449"/>
    <w:rsid w:val="00E4744B"/>
    <w:rsid w:val="00E475F8"/>
    <w:rsid w:val="00E502C1"/>
    <w:rsid w:val="00E50AB1"/>
    <w:rsid w:val="00E50C77"/>
    <w:rsid w:val="00E50F72"/>
    <w:rsid w:val="00E51950"/>
    <w:rsid w:val="00E51AB3"/>
    <w:rsid w:val="00E520D1"/>
    <w:rsid w:val="00E522FD"/>
    <w:rsid w:val="00E52B2C"/>
    <w:rsid w:val="00E530A3"/>
    <w:rsid w:val="00E541D3"/>
    <w:rsid w:val="00E54E22"/>
    <w:rsid w:val="00E553ED"/>
    <w:rsid w:val="00E55939"/>
    <w:rsid w:val="00E55FAC"/>
    <w:rsid w:val="00E56040"/>
    <w:rsid w:val="00E5617C"/>
    <w:rsid w:val="00E561D6"/>
    <w:rsid w:val="00E57449"/>
    <w:rsid w:val="00E577D6"/>
    <w:rsid w:val="00E6068A"/>
    <w:rsid w:val="00E60B49"/>
    <w:rsid w:val="00E612E4"/>
    <w:rsid w:val="00E6142A"/>
    <w:rsid w:val="00E617F4"/>
    <w:rsid w:val="00E61BDB"/>
    <w:rsid w:val="00E61DC3"/>
    <w:rsid w:val="00E6223F"/>
    <w:rsid w:val="00E627F9"/>
    <w:rsid w:val="00E6290A"/>
    <w:rsid w:val="00E639B7"/>
    <w:rsid w:val="00E63E31"/>
    <w:rsid w:val="00E63EDA"/>
    <w:rsid w:val="00E6435D"/>
    <w:rsid w:val="00E64A41"/>
    <w:rsid w:val="00E65446"/>
    <w:rsid w:val="00E655EE"/>
    <w:rsid w:val="00E65E52"/>
    <w:rsid w:val="00E6618D"/>
    <w:rsid w:val="00E667D3"/>
    <w:rsid w:val="00E66EE6"/>
    <w:rsid w:val="00E674BC"/>
    <w:rsid w:val="00E67E84"/>
    <w:rsid w:val="00E67F26"/>
    <w:rsid w:val="00E70629"/>
    <w:rsid w:val="00E706B4"/>
    <w:rsid w:val="00E70D25"/>
    <w:rsid w:val="00E71416"/>
    <w:rsid w:val="00E71F79"/>
    <w:rsid w:val="00E72007"/>
    <w:rsid w:val="00E732BB"/>
    <w:rsid w:val="00E7330E"/>
    <w:rsid w:val="00E733C5"/>
    <w:rsid w:val="00E73AC3"/>
    <w:rsid w:val="00E75AF5"/>
    <w:rsid w:val="00E75BA1"/>
    <w:rsid w:val="00E75EC5"/>
    <w:rsid w:val="00E76DE8"/>
    <w:rsid w:val="00E7745A"/>
    <w:rsid w:val="00E7771C"/>
    <w:rsid w:val="00E77837"/>
    <w:rsid w:val="00E77F34"/>
    <w:rsid w:val="00E80061"/>
    <w:rsid w:val="00E80410"/>
    <w:rsid w:val="00E80C91"/>
    <w:rsid w:val="00E81290"/>
    <w:rsid w:val="00E8175F"/>
    <w:rsid w:val="00E81A9D"/>
    <w:rsid w:val="00E81AD4"/>
    <w:rsid w:val="00E81CFF"/>
    <w:rsid w:val="00E82361"/>
    <w:rsid w:val="00E8285E"/>
    <w:rsid w:val="00E82E4A"/>
    <w:rsid w:val="00E83FA2"/>
    <w:rsid w:val="00E846F5"/>
    <w:rsid w:val="00E851CC"/>
    <w:rsid w:val="00E85335"/>
    <w:rsid w:val="00E85B01"/>
    <w:rsid w:val="00E85F30"/>
    <w:rsid w:val="00E85FA5"/>
    <w:rsid w:val="00E86D0F"/>
    <w:rsid w:val="00E86EB7"/>
    <w:rsid w:val="00E8705C"/>
    <w:rsid w:val="00E87438"/>
    <w:rsid w:val="00E87C73"/>
    <w:rsid w:val="00E90183"/>
    <w:rsid w:val="00E909A8"/>
    <w:rsid w:val="00E90B7A"/>
    <w:rsid w:val="00E90E1B"/>
    <w:rsid w:val="00E911BC"/>
    <w:rsid w:val="00E92031"/>
    <w:rsid w:val="00E92ABD"/>
    <w:rsid w:val="00E92BF9"/>
    <w:rsid w:val="00E93309"/>
    <w:rsid w:val="00E93B62"/>
    <w:rsid w:val="00E9446E"/>
    <w:rsid w:val="00E948B9"/>
    <w:rsid w:val="00E9586E"/>
    <w:rsid w:val="00E9644B"/>
    <w:rsid w:val="00E96649"/>
    <w:rsid w:val="00E970AA"/>
    <w:rsid w:val="00E97677"/>
    <w:rsid w:val="00E97E50"/>
    <w:rsid w:val="00E97E62"/>
    <w:rsid w:val="00E97EFB"/>
    <w:rsid w:val="00EA0759"/>
    <w:rsid w:val="00EA0B9D"/>
    <w:rsid w:val="00EA0D91"/>
    <w:rsid w:val="00EA109C"/>
    <w:rsid w:val="00EA1344"/>
    <w:rsid w:val="00EA1412"/>
    <w:rsid w:val="00EA1E29"/>
    <w:rsid w:val="00EA3896"/>
    <w:rsid w:val="00EA3D89"/>
    <w:rsid w:val="00EA45F4"/>
    <w:rsid w:val="00EA4C24"/>
    <w:rsid w:val="00EA4E4B"/>
    <w:rsid w:val="00EA4F59"/>
    <w:rsid w:val="00EA5656"/>
    <w:rsid w:val="00EA5CA8"/>
    <w:rsid w:val="00EA5F94"/>
    <w:rsid w:val="00EA5FC5"/>
    <w:rsid w:val="00EA6164"/>
    <w:rsid w:val="00EA6880"/>
    <w:rsid w:val="00EA724E"/>
    <w:rsid w:val="00EA7599"/>
    <w:rsid w:val="00EA7D3D"/>
    <w:rsid w:val="00EB0395"/>
    <w:rsid w:val="00EB17BE"/>
    <w:rsid w:val="00EB1F19"/>
    <w:rsid w:val="00EB2FEF"/>
    <w:rsid w:val="00EB3E66"/>
    <w:rsid w:val="00EB4108"/>
    <w:rsid w:val="00EB44FC"/>
    <w:rsid w:val="00EB4D1C"/>
    <w:rsid w:val="00EB56F1"/>
    <w:rsid w:val="00EB586C"/>
    <w:rsid w:val="00EB61A9"/>
    <w:rsid w:val="00EB637C"/>
    <w:rsid w:val="00EB674A"/>
    <w:rsid w:val="00EB6A36"/>
    <w:rsid w:val="00EB7156"/>
    <w:rsid w:val="00EB72B5"/>
    <w:rsid w:val="00EB72E0"/>
    <w:rsid w:val="00EB78DB"/>
    <w:rsid w:val="00EB7917"/>
    <w:rsid w:val="00EB79DC"/>
    <w:rsid w:val="00EB7A18"/>
    <w:rsid w:val="00EB7A38"/>
    <w:rsid w:val="00EC083E"/>
    <w:rsid w:val="00EC0D80"/>
    <w:rsid w:val="00EC0DEC"/>
    <w:rsid w:val="00EC1D25"/>
    <w:rsid w:val="00EC223A"/>
    <w:rsid w:val="00EC3142"/>
    <w:rsid w:val="00EC366E"/>
    <w:rsid w:val="00EC39BA"/>
    <w:rsid w:val="00EC3D69"/>
    <w:rsid w:val="00EC3DF9"/>
    <w:rsid w:val="00EC490D"/>
    <w:rsid w:val="00EC49F4"/>
    <w:rsid w:val="00EC4ABF"/>
    <w:rsid w:val="00EC4CC2"/>
    <w:rsid w:val="00EC5194"/>
    <w:rsid w:val="00EC537C"/>
    <w:rsid w:val="00EC542D"/>
    <w:rsid w:val="00EC6B73"/>
    <w:rsid w:val="00EC6CB7"/>
    <w:rsid w:val="00EC73CB"/>
    <w:rsid w:val="00ED0009"/>
    <w:rsid w:val="00ED0018"/>
    <w:rsid w:val="00ED137B"/>
    <w:rsid w:val="00ED1514"/>
    <w:rsid w:val="00ED1583"/>
    <w:rsid w:val="00ED1F94"/>
    <w:rsid w:val="00ED24DB"/>
    <w:rsid w:val="00ED2861"/>
    <w:rsid w:val="00ED3538"/>
    <w:rsid w:val="00ED3675"/>
    <w:rsid w:val="00ED3B7C"/>
    <w:rsid w:val="00ED455F"/>
    <w:rsid w:val="00ED518C"/>
    <w:rsid w:val="00ED596F"/>
    <w:rsid w:val="00ED5AA1"/>
    <w:rsid w:val="00ED61CB"/>
    <w:rsid w:val="00ED7ED2"/>
    <w:rsid w:val="00EE0F37"/>
    <w:rsid w:val="00EE2044"/>
    <w:rsid w:val="00EE2658"/>
    <w:rsid w:val="00EE2CF7"/>
    <w:rsid w:val="00EE3A6E"/>
    <w:rsid w:val="00EE3C1A"/>
    <w:rsid w:val="00EE430A"/>
    <w:rsid w:val="00EE5094"/>
    <w:rsid w:val="00EE5345"/>
    <w:rsid w:val="00EE55FC"/>
    <w:rsid w:val="00EE5FD7"/>
    <w:rsid w:val="00EE6A86"/>
    <w:rsid w:val="00EE6AC2"/>
    <w:rsid w:val="00EE6D9D"/>
    <w:rsid w:val="00EE6F34"/>
    <w:rsid w:val="00EE727E"/>
    <w:rsid w:val="00EE7334"/>
    <w:rsid w:val="00EF01B7"/>
    <w:rsid w:val="00EF0721"/>
    <w:rsid w:val="00EF0B04"/>
    <w:rsid w:val="00EF0B2D"/>
    <w:rsid w:val="00EF0CDF"/>
    <w:rsid w:val="00EF1479"/>
    <w:rsid w:val="00EF2394"/>
    <w:rsid w:val="00EF27C7"/>
    <w:rsid w:val="00EF3C12"/>
    <w:rsid w:val="00EF463C"/>
    <w:rsid w:val="00EF4F29"/>
    <w:rsid w:val="00EF54AA"/>
    <w:rsid w:val="00EF57D9"/>
    <w:rsid w:val="00EF6228"/>
    <w:rsid w:val="00EF69F4"/>
    <w:rsid w:val="00EF6CDF"/>
    <w:rsid w:val="00EF7155"/>
    <w:rsid w:val="00EF7D77"/>
    <w:rsid w:val="00F0032B"/>
    <w:rsid w:val="00F008B9"/>
    <w:rsid w:val="00F00CC2"/>
    <w:rsid w:val="00F00F08"/>
    <w:rsid w:val="00F0100E"/>
    <w:rsid w:val="00F0199F"/>
    <w:rsid w:val="00F02378"/>
    <w:rsid w:val="00F03577"/>
    <w:rsid w:val="00F037D6"/>
    <w:rsid w:val="00F03D09"/>
    <w:rsid w:val="00F04538"/>
    <w:rsid w:val="00F04A19"/>
    <w:rsid w:val="00F05831"/>
    <w:rsid w:val="00F05965"/>
    <w:rsid w:val="00F05FE6"/>
    <w:rsid w:val="00F06416"/>
    <w:rsid w:val="00F06563"/>
    <w:rsid w:val="00F06F43"/>
    <w:rsid w:val="00F06FC4"/>
    <w:rsid w:val="00F07098"/>
    <w:rsid w:val="00F075F6"/>
    <w:rsid w:val="00F07632"/>
    <w:rsid w:val="00F1009D"/>
    <w:rsid w:val="00F102AC"/>
    <w:rsid w:val="00F1132D"/>
    <w:rsid w:val="00F12879"/>
    <w:rsid w:val="00F1320D"/>
    <w:rsid w:val="00F1429F"/>
    <w:rsid w:val="00F15B77"/>
    <w:rsid w:val="00F1606B"/>
    <w:rsid w:val="00F163E3"/>
    <w:rsid w:val="00F16494"/>
    <w:rsid w:val="00F16EB3"/>
    <w:rsid w:val="00F16F85"/>
    <w:rsid w:val="00F171B0"/>
    <w:rsid w:val="00F17579"/>
    <w:rsid w:val="00F17673"/>
    <w:rsid w:val="00F20B8A"/>
    <w:rsid w:val="00F21348"/>
    <w:rsid w:val="00F2196E"/>
    <w:rsid w:val="00F222D7"/>
    <w:rsid w:val="00F225CF"/>
    <w:rsid w:val="00F228AE"/>
    <w:rsid w:val="00F232AA"/>
    <w:rsid w:val="00F23DB5"/>
    <w:rsid w:val="00F244C4"/>
    <w:rsid w:val="00F248B8"/>
    <w:rsid w:val="00F24A9E"/>
    <w:rsid w:val="00F24E89"/>
    <w:rsid w:val="00F25162"/>
    <w:rsid w:val="00F251C3"/>
    <w:rsid w:val="00F252A8"/>
    <w:rsid w:val="00F26345"/>
    <w:rsid w:val="00F26766"/>
    <w:rsid w:val="00F26B65"/>
    <w:rsid w:val="00F26D42"/>
    <w:rsid w:val="00F26E8E"/>
    <w:rsid w:val="00F26F08"/>
    <w:rsid w:val="00F26FFA"/>
    <w:rsid w:val="00F27008"/>
    <w:rsid w:val="00F271B1"/>
    <w:rsid w:val="00F30274"/>
    <w:rsid w:val="00F31370"/>
    <w:rsid w:val="00F314C7"/>
    <w:rsid w:val="00F31A26"/>
    <w:rsid w:val="00F31D63"/>
    <w:rsid w:val="00F3206F"/>
    <w:rsid w:val="00F3246B"/>
    <w:rsid w:val="00F33450"/>
    <w:rsid w:val="00F339B7"/>
    <w:rsid w:val="00F342D5"/>
    <w:rsid w:val="00F34572"/>
    <w:rsid w:val="00F34B75"/>
    <w:rsid w:val="00F34EC7"/>
    <w:rsid w:val="00F35454"/>
    <w:rsid w:val="00F35D16"/>
    <w:rsid w:val="00F36079"/>
    <w:rsid w:val="00F36827"/>
    <w:rsid w:val="00F36BAF"/>
    <w:rsid w:val="00F36DFB"/>
    <w:rsid w:val="00F379C2"/>
    <w:rsid w:val="00F37A47"/>
    <w:rsid w:val="00F401F6"/>
    <w:rsid w:val="00F40D24"/>
    <w:rsid w:val="00F40F28"/>
    <w:rsid w:val="00F41051"/>
    <w:rsid w:val="00F415FC"/>
    <w:rsid w:val="00F4200A"/>
    <w:rsid w:val="00F437FE"/>
    <w:rsid w:val="00F44355"/>
    <w:rsid w:val="00F4474A"/>
    <w:rsid w:val="00F45654"/>
    <w:rsid w:val="00F458C7"/>
    <w:rsid w:val="00F45C35"/>
    <w:rsid w:val="00F4682C"/>
    <w:rsid w:val="00F46E04"/>
    <w:rsid w:val="00F46EC3"/>
    <w:rsid w:val="00F47D58"/>
    <w:rsid w:val="00F50207"/>
    <w:rsid w:val="00F50979"/>
    <w:rsid w:val="00F50DFD"/>
    <w:rsid w:val="00F510AA"/>
    <w:rsid w:val="00F51474"/>
    <w:rsid w:val="00F5175B"/>
    <w:rsid w:val="00F5202E"/>
    <w:rsid w:val="00F523FD"/>
    <w:rsid w:val="00F525C8"/>
    <w:rsid w:val="00F52E1E"/>
    <w:rsid w:val="00F539A8"/>
    <w:rsid w:val="00F53A5F"/>
    <w:rsid w:val="00F54703"/>
    <w:rsid w:val="00F54762"/>
    <w:rsid w:val="00F54B10"/>
    <w:rsid w:val="00F55DA8"/>
    <w:rsid w:val="00F56368"/>
    <w:rsid w:val="00F57B19"/>
    <w:rsid w:val="00F60398"/>
    <w:rsid w:val="00F603FE"/>
    <w:rsid w:val="00F609FC"/>
    <w:rsid w:val="00F615B7"/>
    <w:rsid w:val="00F6379E"/>
    <w:rsid w:val="00F6387B"/>
    <w:rsid w:val="00F64BFC"/>
    <w:rsid w:val="00F6616A"/>
    <w:rsid w:val="00F66938"/>
    <w:rsid w:val="00F6702E"/>
    <w:rsid w:val="00F67132"/>
    <w:rsid w:val="00F705E3"/>
    <w:rsid w:val="00F70C57"/>
    <w:rsid w:val="00F70D8E"/>
    <w:rsid w:val="00F70EE9"/>
    <w:rsid w:val="00F71420"/>
    <w:rsid w:val="00F71580"/>
    <w:rsid w:val="00F723E2"/>
    <w:rsid w:val="00F73CE5"/>
    <w:rsid w:val="00F745CB"/>
    <w:rsid w:val="00F74679"/>
    <w:rsid w:val="00F74FB1"/>
    <w:rsid w:val="00F7672B"/>
    <w:rsid w:val="00F76A05"/>
    <w:rsid w:val="00F76E7A"/>
    <w:rsid w:val="00F775FB"/>
    <w:rsid w:val="00F8035B"/>
    <w:rsid w:val="00F80599"/>
    <w:rsid w:val="00F80D1A"/>
    <w:rsid w:val="00F80E37"/>
    <w:rsid w:val="00F817A9"/>
    <w:rsid w:val="00F81827"/>
    <w:rsid w:val="00F818F2"/>
    <w:rsid w:val="00F82224"/>
    <w:rsid w:val="00F826EC"/>
    <w:rsid w:val="00F83224"/>
    <w:rsid w:val="00F83228"/>
    <w:rsid w:val="00F83BF7"/>
    <w:rsid w:val="00F84FBD"/>
    <w:rsid w:val="00F8537A"/>
    <w:rsid w:val="00F85615"/>
    <w:rsid w:val="00F856B6"/>
    <w:rsid w:val="00F85D76"/>
    <w:rsid w:val="00F869FE"/>
    <w:rsid w:val="00F86CAF"/>
    <w:rsid w:val="00F90EF9"/>
    <w:rsid w:val="00F92185"/>
    <w:rsid w:val="00F922B4"/>
    <w:rsid w:val="00F930C6"/>
    <w:rsid w:val="00F95EDB"/>
    <w:rsid w:val="00F96217"/>
    <w:rsid w:val="00F9641E"/>
    <w:rsid w:val="00FA00AF"/>
    <w:rsid w:val="00FA1D72"/>
    <w:rsid w:val="00FA1E53"/>
    <w:rsid w:val="00FA29E4"/>
    <w:rsid w:val="00FA2AD3"/>
    <w:rsid w:val="00FA30A0"/>
    <w:rsid w:val="00FA3A55"/>
    <w:rsid w:val="00FA4025"/>
    <w:rsid w:val="00FA46AD"/>
    <w:rsid w:val="00FA4957"/>
    <w:rsid w:val="00FA52B9"/>
    <w:rsid w:val="00FA5F59"/>
    <w:rsid w:val="00FA7005"/>
    <w:rsid w:val="00FA70F2"/>
    <w:rsid w:val="00FA7163"/>
    <w:rsid w:val="00FA7511"/>
    <w:rsid w:val="00FB0157"/>
    <w:rsid w:val="00FB07EE"/>
    <w:rsid w:val="00FB1C10"/>
    <w:rsid w:val="00FB1CE9"/>
    <w:rsid w:val="00FB2534"/>
    <w:rsid w:val="00FB2889"/>
    <w:rsid w:val="00FB2C33"/>
    <w:rsid w:val="00FB3B43"/>
    <w:rsid w:val="00FB3EAA"/>
    <w:rsid w:val="00FB43C6"/>
    <w:rsid w:val="00FB4456"/>
    <w:rsid w:val="00FB4644"/>
    <w:rsid w:val="00FB46EC"/>
    <w:rsid w:val="00FB6078"/>
    <w:rsid w:val="00FB62ED"/>
    <w:rsid w:val="00FB67E9"/>
    <w:rsid w:val="00FB7942"/>
    <w:rsid w:val="00FC007F"/>
    <w:rsid w:val="00FC00C0"/>
    <w:rsid w:val="00FC0538"/>
    <w:rsid w:val="00FC088A"/>
    <w:rsid w:val="00FC0B15"/>
    <w:rsid w:val="00FC1837"/>
    <w:rsid w:val="00FC195D"/>
    <w:rsid w:val="00FC1B64"/>
    <w:rsid w:val="00FC2695"/>
    <w:rsid w:val="00FC38B8"/>
    <w:rsid w:val="00FC3E40"/>
    <w:rsid w:val="00FC437A"/>
    <w:rsid w:val="00FC43B6"/>
    <w:rsid w:val="00FC4A18"/>
    <w:rsid w:val="00FC4D1C"/>
    <w:rsid w:val="00FC5177"/>
    <w:rsid w:val="00FC51FD"/>
    <w:rsid w:val="00FC53EA"/>
    <w:rsid w:val="00FC561C"/>
    <w:rsid w:val="00FC5E07"/>
    <w:rsid w:val="00FC60C4"/>
    <w:rsid w:val="00FC61A0"/>
    <w:rsid w:val="00FC6835"/>
    <w:rsid w:val="00FC7E37"/>
    <w:rsid w:val="00FD04D7"/>
    <w:rsid w:val="00FD246B"/>
    <w:rsid w:val="00FD2D88"/>
    <w:rsid w:val="00FD307E"/>
    <w:rsid w:val="00FD35A4"/>
    <w:rsid w:val="00FD39A1"/>
    <w:rsid w:val="00FD39FE"/>
    <w:rsid w:val="00FD4D2B"/>
    <w:rsid w:val="00FD4FA9"/>
    <w:rsid w:val="00FD51FB"/>
    <w:rsid w:val="00FD5278"/>
    <w:rsid w:val="00FD59D0"/>
    <w:rsid w:val="00FD5E9F"/>
    <w:rsid w:val="00FD690D"/>
    <w:rsid w:val="00FD6EA2"/>
    <w:rsid w:val="00FD6FDA"/>
    <w:rsid w:val="00FD75DB"/>
    <w:rsid w:val="00FD7694"/>
    <w:rsid w:val="00FD7804"/>
    <w:rsid w:val="00FE02F0"/>
    <w:rsid w:val="00FE0976"/>
    <w:rsid w:val="00FE0FA4"/>
    <w:rsid w:val="00FE15EF"/>
    <w:rsid w:val="00FE170C"/>
    <w:rsid w:val="00FE17F3"/>
    <w:rsid w:val="00FE36CB"/>
    <w:rsid w:val="00FE49B8"/>
    <w:rsid w:val="00FE5766"/>
    <w:rsid w:val="00FE6094"/>
    <w:rsid w:val="00FE632D"/>
    <w:rsid w:val="00FE67B8"/>
    <w:rsid w:val="00FE6FE7"/>
    <w:rsid w:val="00FE74DB"/>
    <w:rsid w:val="00FE7CFB"/>
    <w:rsid w:val="00FF0C1F"/>
    <w:rsid w:val="00FF105C"/>
    <w:rsid w:val="00FF14C2"/>
    <w:rsid w:val="00FF1CE8"/>
    <w:rsid w:val="00FF2B96"/>
    <w:rsid w:val="00FF3379"/>
    <w:rsid w:val="00FF3F51"/>
    <w:rsid w:val="00FF6A2D"/>
    <w:rsid w:val="00FF6A74"/>
    <w:rsid w:val="00FF6C04"/>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1A603"/>
  <w15:docId w15:val="{DA6944C0-1F60-4255-8F2C-8F05B302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7E9"/>
    <w:pPr>
      <w:spacing w:after="0" w:line="240" w:lineRule="auto"/>
    </w:pPr>
    <w:rPr>
      <w:rFonts w:ascii="Calibri" w:hAnsi="Calibri" w:cs="Calibri"/>
    </w:rPr>
  </w:style>
  <w:style w:type="paragraph" w:styleId="Heading1">
    <w:name w:val="heading 1"/>
    <w:basedOn w:val="Normal"/>
    <w:next w:val="Normal"/>
    <w:link w:val="Heading1Char"/>
    <w:uiPriority w:val="9"/>
    <w:qFormat/>
    <w:rsid w:val="00E655EE"/>
    <w:pPr>
      <w:keepNext/>
      <w:keepLines/>
      <w:spacing w:before="48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link w:val="Heading2Char"/>
    <w:qFormat/>
    <w:rsid w:val="00E655EE"/>
    <w:pPr>
      <w:spacing w:before="100" w:beforeAutospacing="1" w:after="100" w:afterAutospacing="1"/>
      <w:outlineLvl w:val="1"/>
    </w:pPr>
    <w:rPr>
      <w:rFonts w:ascii="Times New Roman" w:eastAsia="MS Mincho" w:hAnsi="Times New Roman" w:cs="Times New Roman"/>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EE"/>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rsid w:val="00E655EE"/>
    <w:rPr>
      <w:rFonts w:ascii="Times New Roman" w:eastAsia="MS Mincho" w:hAnsi="Times New Roman" w:cs="Times New Roman"/>
      <w:b/>
      <w:bCs/>
      <w:sz w:val="36"/>
      <w:szCs w:val="36"/>
      <w:lang w:eastAsia="ja-JP"/>
    </w:rPr>
  </w:style>
  <w:style w:type="character" w:styleId="Hyperlink">
    <w:name w:val="Hyperlink"/>
    <w:basedOn w:val="DefaultParagraphFont"/>
    <w:uiPriority w:val="99"/>
    <w:rsid w:val="0015743E"/>
    <w:rPr>
      <w:color w:val="0000FF"/>
      <w:u w:val="single"/>
    </w:rPr>
  </w:style>
  <w:style w:type="paragraph" w:styleId="BalloonText">
    <w:name w:val="Balloon Text"/>
    <w:basedOn w:val="Normal"/>
    <w:link w:val="BalloonTextChar"/>
    <w:uiPriority w:val="99"/>
    <w:semiHidden/>
    <w:unhideWhenUsed/>
    <w:rsid w:val="00D70F79"/>
    <w:rPr>
      <w:rFonts w:ascii="Tahoma" w:hAnsi="Tahoma" w:cs="Tahoma"/>
      <w:sz w:val="16"/>
      <w:szCs w:val="16"/>
    </w:rPr>
  </w:style>
  <w:style w:type="character" w:customStyle="1" w:styleId="BalloonTextChar">
    <w:name w:val="Balloon Text Char"/>
    <w:basedOn w:val="DefaultParagraphFont"/>
    <w:link w:val="BalloonText"/>
    <w:uiPriority w:val="99"/>
    <w:semiHidden/>
    <w:rsid w:val="00D70F79"/>
    <w:rPr>
      <w:rFonts w:ascii="Tahoma" w:hAnsi="Tahoma" w:cs="Tahoma"/>
      <w:sz w:val="16"/>
      <w:szCs w:val="16"/>
    </w:rPr>
  </w:style>
  <w:style w:type="character" w:styleId="CommentReference">
    <w:name w:val="annotation reference"/>
    <w:basedOn w:val="DefaultParagraphFont"/>
    <w:uiPriority w:val="99"/>
    <w:semiHidden/>
    <w:unhideWhenUsed/>
    <w:rsid w:val="00D70F79"/>
    <w:rPr>
      <w:sz w:val="16"/>
      <w:szCs w:val="16"/>
    </w:rPr>
  </w:style>
  <w:style w:type="paragraph" w:styleId="CommentText">
    <w:name w:val="annotation text"/>
    <w:basedOn w:val="Normal"/>
    <w:link w:val="CommentTextChar"/>
    <w:uiPriority w:val="99"/>
    <w:unhideWhenUsed/>
    <w:rsid w:val="00D70F79"/>
    <w:rPr>
      <w:sz w:val="20"/>
      <w:szCs w:val="20"/>
    </w:rPr>
  </w:style>
  <w:style w:type="character" w:customStyle="1" w:styleId="CommentTextChar">
    <w:name w:val="Comment Text Char"/>
    <w:basedOn w:val="DefaultParagraphFont"/>
    <w:link w:val="CommentText"/>
    <w:uiPriority w:val="99"/>
    <w:rsid w:val="00D70F7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70F79"/>
    <w:rPr>
      <w:b/>
      <w:bCs/>
    </w:rPr>
  </w:style>
  <w:style w:type="character" w:customStyle="1" w:styleId="CommentSubjectChar">
    <w:name w:val="Comment Subject Char"/>
    <w:basedOn w:val="CommentTextChar"/>
    <w:link w:val="CommentSubject"/>
    <w:uiPriority w:val="99"/>
    <w:semiHidden/>
    <w:rsid w:val="00D70F79"/>
    <w:rPr>
      <w:rFonts w:ascii="Calibri" w:hAnsi="Calibri" w:cs="Calibri"/>
      <w:b/>
      <w:bCs/>
      <w:sz w:val="20"/>
      <w:szCs w:val="20"/>
    </w:rPr>
  </w:style>
  <w:style w:type="paragraph" w:styleId="BodyText3">
    <w:name w:val="Body Text 3"/>
    <w:basedOn w:val="Normal"/>
    <w:link w:val="BodyText3Char"/>
    <w:rsid w:val="00A93B57"/>
    <w:pPr>
      <w:tabs>
        <w:tab w:val="left" w:pos="4320"/>
      </w:tabs>
      <w:jc w:val="center"/>
    </w:pPr>
    <w:rPr>
      <w:rFonts w:ascii="Arial" w:eastAsia="MS Mincho" w:hAnsi="Arial" w:cs="Times New Roman"/>
      <w:b/>
      <w:i/>
      <w:sz w:val="36"/>
      <w:szCs w:val="24"/>
      <w:lang w:eastAsia="ja-JP"/>
    </w:rPr>
  </w:style>
  <w:style w:type="character" w:customStyle="1" w:styleId="BodyText3Char">
    <w:name w:val="Body Text 3 Char"/>
    <w:basedOn w:val="DefaultParagraphFont"/>
    <w:link w:val="BodyText3"/>
    <w:rsid w:val="00A93B57"/>
    <w:rPr>
      <w:rFonts w:ascii="Arial" w:eastAsia="MS Mincho" w:hAnsi="Arial" w:cs="Times New Roman"/>
      <w:b/>
      <w:i/>
      <w:sz w:val="36"/>
      <w:szCs w:val="24"/>
      <w:lang w:eastAsia="ja-JP"/>
    </w:rPr>
  </w:style>
  <w:style w:type="paragraph" w:styleId="Header">
    <w:name w:val="header"/>
    <w:basedOn w:val="Normal"/>
    <w:link w:val="HeaderChar"/>
    <w:uiPriority w:val="99"/>
    <w:unhideWhenUsed/>
    <w:rsid w:val="008C0A3E"/>
    <w:pPr>
      <w:tabs>
        <w:tab w:val="center" w:pos="4680"/>
        <w:tab w:val="right" w:pos="9360"/>
      </w:tabs>
    </w:pPr>
  </w:style>
  <w:style w:type="character" w:customStyle="1" w:styleId="HeaderChar">
    <w:name w:val="Header Char"/>
    <w:basedOn w:val="DefaultParagraphFont"/>
    <w:link w:val="Header"/>
    <w:uiPriority w:val="99"/>
    <w:rsid w:val="008C0A3E"/>
    <w:rPr>
      <w:rFonts w:ascii="Calibri" w:hAnsi="Calibri" w:cs="Calibri"/>
    </w:rPr>
  </w:style>
  <w:style w:type="paragraph" w:styleId="Footer">
    <w:name w:val="footer"/>
    <w:basedOn w:val="Normal"/>
    <w:link w:val="FooterChar"/>
    <w:uiPriority w:val="99"/>
    <w:unhideWhenUsed/>
    <w:rsid w:val="008C0A3E"/>
    <w:pPr>
      <w:tabs>
        <w:tab w:val="center" w:pos="4680"/>
        <w:tab w:val="right" w:pos="9360"/>
      </w:tabs>
    </w:pPr>
  </w:style>
  <w:style w:type="character" w:customStyle="1" w:styleId="FooterChar">
    <w:name w:val="Footer Char"/>
    <w:basedOn w:val="DefaultParagraphFont"/>
    <w:link w:val="Footer"/>
    <w:uiPriority w:val="99"/>
    <w:rsid w:val="008C0A3E"/>
    <w:rPr>
      <w:rFonts w:ascii="Calibri" w:hAnsi="Calibri" w:cs="Calibri"/>
    </w:rPr>
  </w:style>
  <w:style w:type="paragraph" w:styleId="ListParagraph">
    <w:name w:val="List Paragraph"/>
    <w:basedOn w:val="Normal"/>
    <w:uiPriority w:val="34"/>
    <w:qFormat/>
    <w:rsid w:val="00345D44"/>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DF4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rsid w:val="00E655EE"/>
    <w:pPr>
      <w:ind w:left="720"/>
    </w:pPr>
    <w:rPr>
      <w:rFonts w:ascii="Times New Roman" w:eastAsia="MS Mincho" w:hAnsi="Times New Roman" w:cs="Times New Roman"/>
      <w:sz w:val="24"/>
      <w:szCs w:val="24"/>
      <w:lang w:eastAsia="ja-JP"/>
    </w:rPr>
  </w:style>
  <w:style w:type="character" w:customStyle="1" w:styleId="BodyTextIndentChar">
    <w:name w:val="Body Text Indent Char"/>
    <w:basedOn w:val="DefaultParagraphFont"/>
    <w:link w:val="BodyTextIndent"/>
    <w:uiPriority w:val="99"/>
    <w:semiHidden/>
    <w:rsid w:val="00E655EE"/>
    <w:rPr>
      <w:rFonts w:ascii="Times New Roman" w:eastAsia="MS Mincho" w:hAnsi="Times New Roman" w:cs="Times New Roman"/>
      <w:sz w:val="24"/>
      <w:szCs w:val="24"/>
      <w:lang w:eastAsia="ja-JP"/>
    </w:rPr>
  </w:style>
  <w:style w:type="paragraph" w:styleId="BodyTextIndent">
    <w:name w:val="Body Text Indent"/>
    <w:basedOn w:val="Normal"/>
    <w:link w:val="BodyTextIndentChar"/>
    <w:uiPriority w:val="99"/>
    <w:semiHidden/>
    <w:unhideWhenUsed/>
    <w:rsid w:val="00E655EE"/>
    <w:pPr>
      <w:spacing w:after="120"/>
      <w:ind w:left="360"/>
    </w:pPr>
    <w:rPr>
      <w:rFonts w:ascii="Times New Roman" w:eastAsia="MS Mincho" w:hAnsi="Times New Roman" w:cs="Times New Roman"/>
      <w:sz w:val="24"/>
      <w:szCs w:val="24"/>
      <w:lang w:eastAsia="ja-JP"/>
    </w:rPr>
  </w:style>
  <w:style w:type="paragraph" w:styleId="NoSpacing">
    <w:name w:val="No Spacing"/>
    <w:uiPriority w:val="1"/>
    <w:qFormat/>
    <w:rsid w:val="00E655EE"/>
    <w:pPr>
      <w:spacing w:after="0" w:line="240" w:lineRule="auto"/>
    </w:pPr>
  </w:style>
  <w:style w:type="paragraph" w:customStyle="1" w:styleId="Default">
    <w:name w:val="Default"/>
    <w:rsid w:val="00E655EE"/>
    <w:pPr>
      <w:autoSpaceDE w:val="0"/>
      <w:autoSpaceDN w:val="0"/>
      <w:adjustRightInd w:val="0"/>
      <w:spacing w:after="0" w:line="240" w:lineRule="auto"/>
    </w:pPr>
    <w:rPr>
      <w:rFonts w:ascii="Arial" w:hAnsi="Arial" w:cs="Arial"/>
      <w:color w:val="000000"/>
      <w:sz w:val="24"/>
      <w:szCs w:val="24"/>
    </w:rPr>
  </w:style>
  <w:style w:type="character" w:customStyle="1" w:styleId="FootnoteTextChar">
    <w:name w:val="Footnote Text Char"/>
    <w:basedOn w:val="DefaultParagraphFont"/>
    <w:link w:val="FootnoteText"/>
    <w:uiPriority w:val="99"/>
    <w:semiHidden/>
    <w:rsid w:val="00E655EE"/>
    <w:rPr>
      <w:rFonts w:ascii="Calibri" w:hAnsi="Calibri" w:cs="Calibri"/>
      <w:sz w:val="20"/>
      <w:szCs w:val="20"/>
    </w:rPr>
  </w:style>
  <w:style w:type="paragraph" w:styleId="FootnoteText">
    <w:name w:val="footnote text"/>
    <w:basedOn w:val="Normal"/>
    <w:link w:val="FootnoteTextChar"/>
    <w:uiPriority w:val="99"/>
    <w:semiHidden/>
    <w:unhideWhenUsed/>
    <w:rsid w:val="00E655EE"/>
    <w:rPr>
      <w:sz w:val="20"/>
      <w:szCs w:val="20"/>
    </w:rPr>
  </w:style>
  <w:style w:type="paragraph" w:styleId="Revision">
    <w:name w:val="Revision"/>
    <w:hidden/>
    <w:uiPriority w:val="99"/>
    <w:semiHidden/>
    <w:rsid w:val="00C04573"/>
    <w:pPr>
      <w:spacing w:after="0" w:line="240" w:lineRule="auto"/>
    </w:pPr>
    <w:rPr>
      <w:rFonts w:ascii="Calibri" w:hAnsi="Calibri" w:cs="Calibri"/>
    </w:rPr>
  </w:style>
  <w:style w:type="numbering" w:customStyle="1" w:styleId="Aucuneliste1">
    <w:name w:val="Aucune liste1"/>
    <w:next w:val="NoList"/>
    <w:uiPriority w:val="99"/>
    <w:semiHidden/>
    <w:unhideWhenUsed/>
    <w:rsid w:val="00040921"/>
  </w:style>
  <w:style w:type="table" w:customStyle="1" w:styleId="Grilledutableau1">
    <w:name w:val="Grille du tableau1"/>
    <w:basedOn w:val="TableNormal"/>
    <w:next w:val="TableGrid"/>
    <w:uiPriority w:val="59"/>
    <w:rsid w:val="00040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040921"/>
    <w:rPr>
      <w:vertAlign w:val="superscript"/>
    </w:rPr>
  </w:style>
  <w:style w:type="paragraph" w:styleId="NormalWeb">
    <w:name w:val="Normal (Web)"/>
    <w:basedOn w:val="Normal"/>
    <w:uiPriority w:val="99"/>
    <w:semiHidden/>
    <w:unhideWhenUsed/>
    <w:rsid w:val="00040921"/>
    <w:pPr>
      <w:spacing w:before="100" w:beforeAutospacing="1" w:after="100" w:afterAutospacing="1"/>
    </w:pPr>
    <w:rPr>
      <w:rFonts w:ascii="Times New Roman" w:eastAsia="Times New Roman" w:hAnsi="Times New Roman" w:cs="Times New Roman"/>
      <w:sz w:val="24"/>
      <w:szCs w:val="24"/>
      <w:lang w:val="fr-FR" w:eastAsia="fr-FR"/>
    </w:rPr>
  </w:style>
  <w:style w:type="character" w:styleId="PlaceholderText">
    <w:name w:val="Placeholder Text"/>
    <w:basedOn w:val="DefaultParagraphFont"/>
    <w:uiPriority w:val="99"/>
    <w:semiHidden/>
    <w:rsid w:val="001B5589"/>
    <w:rPr>
      <w:color w:val="808080"/>
    </w:rPr>
  </w:style>
  <w:style w:type="character" w:styleId="Strong">
    <w:name w:val="Strong"/>
    <w:basedOn w:val="DefaultParagraphFont"/>
    <w:uiPriority w:val="22"/>
    <w:qFormat/>
    <w:rsid w:val="000F1EC0"/>
    <w:rPr>
      <w:b/>
      <w:bCs/>
    </w:rPr>
  </w:style>
  <w:style w:type="character" w:customStyle="1" w:styleId="s43">
    <w:name w:val="s43"/>
    <w:basedOn w:val="DefaultParagraphFont"/>
    <w:rsid w:val="00685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8797">
      <w:bodyDiv w:val="1"/>
      <w:marLeft w:val="0"/>
      <w:marRight w:val="0"/>
      <w:marTop w:val="0"/>
      <w:marBottom w:val="0"/>
      <w:divBdr>
        <w:top w:val="none" w:sz="0" w:space="0" w:color="auto"/>
        <w:left w:val="none" w:sz="0" w:space="0" w:color="auto"/>
        <w:bottom w:val="none" w:sz="0" w:space="0" w:color="auto"/>
        <w:right w:val="none" w:sz="0" w:space="0" w:color="auto"/>
      </w:divBdr>
    </w:div>
    <w:div w:id="71974377">
      <w:bodyDiv w:val="1"/>
      <w:marLeft w:val="0"/>
      <w:marRight w:val="0"/>
      <w:marTop w:val="0"/>
      <w:marBottom w:val="0"/>
      <w:divBdr>
        <w:top w:val="none" w:sz="0" w:space="0" w:color="auto"/>
        <w:left w:val="none" w:sz="0" w:space="0" w:color="auto"/>
        <w:bottom w:val="none" w:sz="0" w:space="0" w:color="auto"/>
        <w:right w:val="none" w:sz="0" w:space="0" w:color="auto"/>
      </w:divBdr>
    </w:div>
    <w:div w:id="112676452">
      <w:bodyDiv w:val="1"/>
      <w:marLeft w:val="0"/>
      <w:marRight w:val="0"/>
      <w:marTop w:val="0"/>
      <w:marBottom w:val="0"/>
      <w:divBdr>
        <w:top w:val="none" w:sz="0" w:space="0" w:color="auto"/>
        <w:left w:val="none" w:sz="0" w:space="0" w:color="auto"/>
        <w:bottom w:val="none" w:sz="0" w:space="0" w:color="auto"/>
        <w:right w:val="none" w:sz="0" w:space="0" w:color="auto"/>
      </w:divBdr>
    </w:div>
    <w:div w:id="137496760">
      <w:bodyDiv w:val="1"/>
      <w:marLeft w:val="0"/>
      <w:marRight w:val="0"/>
      <w:marTop w:val="0"/>
      <w:marBottom w:val="0"/>
      <w:divBdr>
        <w:top w:val="none" w:sz="0" w:space="0" w:color="auto"/>
        <w:left w:val="none" w:sz="0" w:space="0" w:color="auto"/>
        <w:bottom w:val="none" w:sz="0" w:space="0" w:color="auto"/>
        <w:right w:val="none" w:sz="0" w:space="0" w:color="auto"/>
      </w:divBdr>
    </w:div>
    <w:div w:id="304701383">
      <w:bodyDiv w:val="1"/>
      <w:marLeft w:val="0"/>
      <w:marRight w:val="0"/>
      <w:marTop w:val="0"/>
      <w:marBottom w:val="0"/>
      <w:divBdr>
        <w:top w:val="none" w:sz="0" w:space="0" w:color="auto"/>
        <w:left w:val="none" w:sz="0" w:space="0" w:color="auto"/>
        <w:bottom w:val="none" w:sz="0" w:space="0" w:color="auto"/>
        <w:right w:val="none" w:sz="0" w:space="0" w:color="auto"/>
      </w:divBdr>
    </w:div>
    <w:div w:id="325788161">
      <w:bodyDiv w:val="1"/>
      <w:marLeft w:val="0"/>
      <w:marRight w:val="0"/>
      <w:marTop w:val="0"/>
      <w:marBottom w:val="0"/>
      <w:divBdr>
        <w:top w:val="none" w:sz="0" w:space="0" w:color="auto"/>
        <w:left w:val="none" w:sz="0" w:space="0" w:color="auto"/>
        <w:bottom w:val="none" w:sz="0" w:space="0" w:color="auto"/>
        <w:right w:val="none" w:sz="0" w:space="0" w:color="auto"/>
      </w:divBdr>
    </w:div>
    <w:div w:id="360087125">
      <w:bodyDiv w:val="1"/>
      <w:marLeft w:val="0"/>
      <w:marRight w:val="0"/>
      <w:marTop w:val="0"/>
      <w:marBottom w:val="0"/>
      <w:divBdr>
        <w:top w:val="none" w:sz="0" w:space="0" w:color="auto"/>
        <w:left w:val="none" w:sz="0" w:space="0" w:color="auto"/>
        <w:bottom w:val="none" w:sz="0" w:space="0" w:color="auto"/>
        <w:right w:val="none" w:sz="0" w:space="0" w:color="auto"/>
      </w:divBdr>
    </w:div>
    <w:div w:id="384069499">
      <w:bodyDiv w:val="1"/>
      <w:marLeft w:val="0"/>
      <w:marRight w:val="0"/>
      <w:marTop w:val="0"/>
      <w:marBottom w:val="0"/>
      <w:divBdr>
        <w:top w:val="none" w:sz="0" w:space="0" w:color="auto"/>
        <w:left w:val="none" w:sz="0" w:space="0" w:color="auto"/>
        <w:bottom w:val="none" w:sz="0" w:space="0" w:color="auto"/>
        <w:right w:val="none" w:sz="0" w:space="0" w:color="auto"/>
      </w:divBdr>
    </w:div>
    <w:div w:id="430587445">
      <w:bodyDiv w:val="1"/>
      <w:marLeft w:val="0"/>
      <w:marRight w:val="0"/>
      <w:marTop w:val="0"/>
      <w:marBottom w:val="0"/>
      <w:divBdr>
        <w:top w:val="none" w:sz="0" w:space="0" w:color="auto"/>
        <w:left w:val="none" w:sz="0" w:space="0" w:color="auto"/>
        <w:bottom w:val="none" w:sz="0" w:space="0" w:color="auto"/>
        <w:right w:val="none" w:sz="0" w:space="0" w:color="auto"/>
      </w:divBdr>
    </w:div>
    <w:div w:id="499543056">
      <w:bodyDiv w:val="1"/>
      <w:marLeft w:val="0"/>
      <w:marRight w:val="0"/>
      <w:marTop w:val="0"/>
      <w:marBottom w:val="0"/>
      <w:divBdr>
        <w:top w:val="none" w:sz="0" w:space="0" w:color="auto"/>
        <w:left w:val="none" w:sz="0" w:space="0" w:color="auto"/>
        <w:bottom w:val="none" w:sz="0" w:space="0" w:color="auto"/>
        <w:right w:val="none" w:sz="0" w:space="0" w:color="auto"/>
      </w:divBdr>
    </w:div>
    <w:div w:id="518352262">
      <w:bodyDiv w:val="1"/>
      <w:marLeft w:val="0"/>
      <w:marRight w:val="0"/>
      <w:marTop w:val="0"/>
      <w:marBottom w:val="0"/>
      <w:divBdr>
        <w:top w:val="none" w:sz="0" w:space="0" w:color="auto"/>
        <w:left w:val="none" w:sz="0" w:space="0" w:color="auto"/>
        <w:bottom w:val="none" w:sz="0" w:space="0" w:color="auto"/>
        <w:right w:val="none" w:sz="0" w:space="0" w:color="auto"/>
      </w:divBdr>
    </w:div>
    <w:div w:id="521434632">
      <w:bodyDiv w:val="1"/>
      <w:marLeft w:val="0"/>
      <w:marRight w:val="0"/>
      <w:marTop w:val="0"/>
      <w:marBottom w:val="0"/>
      <w:divBdr>
        <w:top w:val="none" w:sz="0" w:space="0" w:color="auto"/>
        <w:left w:val="none" w:sz="0" w:space="0" w:color="auto"/>
        <w:bottom w:val="none" w:sz="0" w:space="0" w:color="auto"/>
        <w:right w:val="none" w:sz="0" w:space="0" w:color="auto"/>
      </w:divBdr>
    </w:div>
    <w:div w:id="557134066">
      <w:bodyDiv w:val="1"/>
      <w:marLeft w:val="0"/>
      <w:marRight w:val="0"/>
      <w:marTop w:val="0"/>
      <w:marBottom w:val="0"/>
      <w:divBdr>
        <w:top w:val="none" w:sz="0" w:space="0" w:color="auto"/>
        <w:left w:val="none" w:sz="0" w:space="0" w:color="auto"/>
        <w:bottom w:val="none" w:sz="0" w:space="0" w:color="auto"/>
        <w:right w:val="none" w:sz="0" w:space="0" w:color="auto"/>
      </w:divBdr>
    </w:div>
    <w:div w:id="558367587">
      <w:bodyDiv w:val="1"/>
      <w:marLeft w:val="0"/>
      <w:marRight w:val="0"/>
      <w:marTop w:val="0"/>
      <w:marBottom w:val="0"/>
      <w:divBdr>
        <w:top w:val="none" w:sz="0" w:space="0" w:color="auto"/>
        <w:left w:val="none" w:sz="0" w:space="0" w:color="auto"/>
        <w:bottom w:val="none" w:sz="0" w:space="0" w:color="auto"/>
        <w:right w:val="none" w:sz="0" w:space="0" w:color="auto"/>
      </w:divBdr>
    </w:div>
    <w:div w:id="579603921">
      <w:bodyDiv w:val="1"/>
      <w:marLeft w:val="0"/>
      <w:marRight w:val="0"/>
      <w:marTop w:val="0"/>
      <w:marBottom w:val="0"/>
      <w:divBdr>
        <w:top w:val="none" w:sz="0" w:space="0" w:color="auto"/>
        <w:left w:val="none" w:sz="0" w:space="0" w:color="auto"/>
        <w:bottom w:val="none" w:sz="0" w:space="0" w:color="auto"/>
        <w:right w:val="none" w:sz="0" w:space="0" w:color="auto"/>
      </w:divBdr>
    </w:div>
    <w:div w:id="615677355">
      <w:bodyDiv w:val="1"/>
      <w:marLeft w:val="0"/>
      <w:marRight w:val="0"/>
      <w:marTop w:val="0"/>
      <w:marBottom w:val="0"/>
      <w:divBdr>
        <w:top w:val="none" w:sz="0" w:space="0" w:color="auto"/>
        <w:left w:val="none" w:sz="0" w:space="0" w:color="auto"/>
        <w:bottom w:val="none" w:sz="0" w:space="0" w:color="auto"/>
        <w:right w:val="none" w:sz="0" w:space="0" w:color="auto"/>
      </w:divBdr>
    </w:div>
    <w:div w:id="734160844">
      <w:bodyDiv w:val="1"/>
      <w:marLeft w:val="0"/>
      <w:marRight w:val="0"/>
      <w:marTop w:val="0"/>
      <w:marBottom w:val="0"/>
      <w:divBdr>
        <w:top w:val="none" w:sz="0" w:space="0" w:color="auto"/>
        <w:left w:val="none" w:sz="0" w:space="0" w:color="auto"/>
        <w:bottom w:val="none" w:sz="0" w:space="0" w:color="auto"/>
        <w:right w:val="none" w:sz="0" w:space="0" w:color="auto"/>
      </w:divBdr>
    </w:div>
    <w:div w:id="936449716">
      <w:bodyDiv w:val="1"/>
      <w:marLeft w:val="0"/>
      <w:marRight w:val="0"/>
      <w:marTop w:val="0"/>
      <w:marBottom w:val="0"/>
      <w:divBdr>
        <w:top w:val="none" w:sz="0" w:space="0" w:color="auto"/>
        <w:left w:val="none" w:sz="0" w:space="0" w:color="auto"/>
        <w:bottom w:val="none" w:sz="0" w:space="0" w:color="auto"/>
        <w:right w:val="none" w:sz="0" w:space="0" w:color="auto"/>
      </w:divBdr>
    </w:div>
    <w:div w:id="957302181">
      <w:bodyDiv w:val="1"/>
      <w:marLeft w:val="0"/>
      <w:marRight w:val="0"/>
      <w:marTop w:val="0"/>
      <w:marBottom w:val="0"/>
      <w:divBdr>
        <w:top w:val="none" w:sz="0" w:space="0" w:color="auto"/>
        <w:left w:val="none" w:sz="0" w:space="0" w:color="auto"/>
        <w:bottom w:val="none" w:sz="0" w:space="0" w:color="auto"/>
        <w:right w:val="none" w:sz="0" w:space="0" w:color="auto"/>
      </w:divBdr>
    </w:div>
    <w:div w:id="976565434">
      <w:bodyDiv w:val="1"/>
      <w:marLeft w:val="0"/>
      <w:marRight w:val="0"/>
      <w:marTop w:val="0"/>
      <w:marBottom w:val="0"/>
      <w:divBdr>
        <w:top w:val="none" w:sz="0" w:space="0" w:color="auto"/>
        <w:left w:val="none" w:sz="0" w:space="0" w:color="auto"/>
        <w:bottom w:val="none" w:sz="0" w:space="0" w:color="auto"/>
        <w:right w:val="none" w:sz="0" w:space="0" w:color="auto"/>
      </w:divBdr>
      <w:divsChild>
        <w:div w:id="321741632">
          <w:marLeft w:val="662"/>
          <w:marRight w:val="0"/>
          <w:marTop w:val="0"/>
          <w:marBottom w:val="0"/>
          <w:divBdr>
            <w:top w:val="none" w:sz="0" w:space="0" w:color="auto"/>
            <w:left w:val="none" w:sz="0" w:space="0" w:color="auto"/>
            <w:bottom w:val="none" w:sz="0" w:space="0" w:color="auto"/>
            <w:right w:val="none" w:sz="0" w:space="0" w:color="auto"/>
          </w:divBdr>
        </w:div>
      </w:divsChild>
    </w:div>
    <w:div w:id="1118179635">
      <w:bodyDiv w:val="1"/>
      <w:marLeft w:val="0"/>
      <w:marRight w:val="0"/>
      <w:marTop w:val="0"/>
      <w:marBottom w:val="0"/>
      <w:divBdr>
        <w:top w:val="none" w:sz="0" w:space="0" w:color="auto"/>
        <w:left w:val="none" w:sz="0" w:space="0" w:color="auto"/>
        <w:bottom w:val="none" w:sz="0" w:space="0" w:color="auto"/>
        <w:right w:val="none" w:sz="0" w:space="0" w:color="auto"/>
      </w:divBdr>
    </w:div>
    <w:div w:id="1148130073">
      <w:bodyDiv w:val="1"/>
      <w:marLeft w:val="0"/>
      <w:marRight w:val="0"/>
      <w:marTop w:val="0"/>
      <w:marBottom w:val="0"/>
      <w:divBdr>
        <w:top w:val="none" w:sz="0" w:space="0" w:color="auto"/>
        <w:left w:val="none" w:sz="0" w:space="0" w:color="auto"/>
        <w:bottom w:val="none" w:sz="0" w:space="0" w:color="auto"/>
        <w:right w:val="none" w:sz="0" w:space="0" w:color="auto"/>
      </w:divBdr>
    </w:div>
    <w:div w:id="1340426877">
      <w:bodyDiv w:val="1"/>
      <w:marLeft w:val="0"/>
      <w:marRight w:val="0"/>
      <w:marTop w:val="0"/>
      <w:marBottom w:val="0"/>
      <w:divBdr>
        <w:top w:val="none" w:sz="0" w:space="0" w:color="auto"/>
        <w:left w:val="none" w:sz="0" w:space="0" w:color="auto"/>
        <w:bottom w:val="none" w:sz="0" w:space="0" w:color="auto"/>
        <w:right w:val="none" w:sz="0" w:space="0" w:color="auto"/>
      </w:divBdr>
    </w:div>
    <w:div w:id="1349797038">
      <w:bodyDiv w:val="1"/>
      <w:marLeft w:val="0"/>
      <w:marRight w:val="0"/>
      <w:marTop w:val="0"/>
      <w:marBottom w:val="0"/>
      <w:divBdr>
        <w:top w:val="none" w:sz="0" w:space="0" w:color="auto"/>
        <w:left w:val="none" w:sz="0" w:space="0" w:color="auto"/>
        <w:bottom w:val="none" w:sz="0" w:space="0" w:color="auto"/>
        <w:right w:val="none" w:sz="0" w:space="0" w:color="auto"/>
      </w:divBdr>
    </w:div>
    <w:div w:id="1377660722">
      <w:bodyDiv w:val="1"/>
      <w:marLeft w:val="0"/>
      <w:marRight w:val="0"/>
      <w:marTop w:val="0"/>
      <w:marBottom w:val="0"/>
      <w:divBdr>
        <w:top w:val="none" w:sz="0" w:space="0" w:color="auto"/>
        <w:left w:val="none" w:sz="0" w:space="0" w:color="auto"/>
        <w:bottom w:val="none" w:sz="0" w:space="0" w:color="auto"/>
        <w:right w:val="none" w:sz="0" w:space="0" w:color="auto"/>
      </w:divBdr>
    </w:div>
    <w:div w:id="1585918712">
      <w:bodyDiv w:val="1"/>
      <w:marLeft w:val="0"/>
      <w:marRight w:val="0"/>
      <w:marTop w:val="0"/>
      <w:marBottom w:val="0"/>
      <w:divBdr>
        <w:top w:val="none" w:sz="0" w:space="0" w:color="auto"/>
        <w:left w:val="none" w:sz="0" w:space="0" w:color="auto"/>
        <w:bottom w:val="none" w:sz="0" w:space="0" w:color="auto"/>
        <w:right w:val="none" w:sz="0" w:space="0" w:color="auto"/>
      </w:divBdr>
    </w:div>
    <w:div w:id="1786461262">
      <w:bodyDiv w:val="1"/>
      <w:marLeft w:val="0"/>
      <w:marRight w:val="0"/>
      <w:marTop w:val="0"/>
      <w:marBottom w:val="0"/>
      <w:divBdr>
        <w:top w:val="none" w:sz="0" w:space="0" w:color="auto"/>
        <w:left w:val="none" w:sz="0" w:space="0" w:color="auto"/>
        <w:bottom w:val="none" w:sz="0" w:space="0" w:color="auto"/>
        <w:right w:val="none" w:sz="0" w:space="0" w:color="auto"/>
      </w:divBdr>
    </w:div>
    <w:div w:id="1848669423">
      <w:bodyDiv w:val="1"/>
      <w:marLeft w:val="0"/>
      <w:marRight w:val="0"/>
      <w:marTop w:val="0"/>
      <w:marBottom w:val="0"/>
      <w:divBdr>
        <w:top w:val="none" w:sz="0" w:space="0" w:color="auto"/>
        <w:left w:val="none" w:sz="0" w:space="0" w:color="auto"/>
        <w:bottom w:val="none" w:sz="0" w:space="0" w:color="auto"/>
        <w:right w:val="none" w:sz="0" w:space="0" w:color="auto"/>
      </w:divBdr>
    </w:div>
    <w:div w:id="2012218418">
      <w:bodyDiv w:val="1"/>
      <w:marLeft w:val="0"/>
      <w:marRight w:val="0"/>
      <w:marTop w:val="0"/>
      <w:marBottom w:val="0"/>
      <w:divBdr>
        <w:top w:val="none" w:sz="0" w:space="0" w:color="auto"/>
        <w:left w:val="none" w:sz="0" w:space="0" w:color="auto"/>
        <w:bottom w:val="none" w:sz="0" w:space="0" w:color="auto"/>
        <w:right w:val="none" w:sz="0" w:space="0" w:color="auto"/>
      </w:divBdr>
    </w:div>
    <w:div w:id="2100058819">
      <w:bodyDiv w:val="1"/>
      <w:marLeft w:val="0"/>
      <w:marRight w:val="0"/>
      <w:marTop w:val="0"/>
      <w:marBottom w:val="0"/>
      <w:divBdr>
        <w:top w:val="none" w:sz="0" w:space="0" w:color="auto"/>
        <w:left w:val="none" w:sz="0" w:space="0" w:color="auto"/>
        <w:bottom w:val="none" w:sz="0" w:space="0" w:color="auto"/>
        <w:right w:val="none" w:sz="0" w:space="0" w:color="auto"/>
      </w:divBdr>
      <w:divsChild>
        <w:div w:id="2057117126">
          <w:marLeft w:val="0"/>
          <w:marRight w:val="0"/>
          <w:marTop w:val="0"/>
          <w:marBottom w:val="0"/>
          <w:divBdr>
            <w:top w:val="none" w:sz="0" w:space="0" w:color="auto"/>
            <w:left w:val="none" w:sz="0" w:space="0" w:color="auto"/>
            <w:bottom w:val="none" w:sz="0" w:space="0" w:color="auto"/>
            <w:right w:val="none" w:sz="0" w:space="0" w:color="auto"/>
          </w:divBdr>
        </w:div>
        <w:div w:id="2019501749">
          <w:marLeft w:val="0"/>
          <w:marRight w:val="0"/>
          <w:marTop w:val="0"/>
          <w:marBottom w:val="0"/>
          <w:divBdr>
            <w:top w:val="none" w:sz="0" w:space="0" w:color="auto"/>
            <w:left w:val="none" w:sz="0" w:space="0" w:color="auto"/>
            <w:bottom w:val="none" w:sz="0" w:space="0" w:color="auto"/>
            <w:right w:val="none" w:sz="0" w:space="0" w:color="auto"/>
          </w:divBdr>
          <w:divsChild>
            <w:div w:id="419450752">
              <w:marLeft w:val="0"/>
              <w:marRight w:val="0"/>
              <w:marTop w:val="0"/>
              <w:marBottom w:val="0"/>
              <w:divBdr>
                <w:top w:val="none" w:sz="0" w:space="0" w:color="auto"/>
                <w:left w:val="none" w:sz="0" w:space="0" w:color="auto"/>
                <w:bottom w:val="none" w:sz="0" w:space="0" w:color="auto"/>
                <w:right w:val="none" w:sz="0" w:space="0" w:color="auto"/>
              </w:divBdr>
              <w:divsChild>
                <w:div w:id="1131366042">
                  <w:marLeft w:val="0"/>
                  <w:marRight w:val="0"/>
                  <w:marTop w:val="0"/>
                  <w:marBottom w:val="0"/>
                  <w:divBdr>
                    <w:top w:val="none" w:sz="0" w:space="0" w:color="auto"/>
                    <w:left w:val="none" w:sz="0" w:space="0" w:color="auto"/>
                    <w:bottom w:val="none" w:sz="0" w:space="0" w:color="auto"/>
                    <w:right w:val="none" w:sz="0" w:space="0" w:color="auto"/>
                  </w:divBdr>
                  <w:divsChild>
                    <w:div w:id="12138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6796">
      <w:bodyDiv w:val="1"/>
      <w:marLeft w:val="0"/>
      <w:marRight w:val="0"/>
      <w:marTop w:val="0"/>
      <w:marBottom w:val="0"/>
      <w:divBdr>
        <w:top w:val="none" w:sz="0" w:space="0" w:color="auto"/>
        <w:left w:val="none" w:sz="0" w:space="0" w:color="auto"/>
        <w:bottom w:val="none" w:sz="0" w:space="0" w:color="auto"/>
        <w:right w:val="none" w:sz="0" w:space="0" w:color="auto"/>
      </w:divBdr>
    </w:div>
    <w:div w:id="2139688178">
      <w:bodyDiv w:val="1"/>
      <w:marLeft w:val="0"/>
      <w:marRight w:val="0"/>
      <w:marTop w:val="0"/>
      <w:marBottom w:val="0"/>
      <w:divBdr>
        <w:top w:val="none" w:sz="0" w:space="0" w:color="auto"/>
        <w:left w:val="none" w:sz="0" w:space="0" w:color="auto"/>
        <w:bottom w:val="none" w:sz="0" w:space="0" w:color="auto"/>
        <w:right w:val="none" w:sz="0" w:space="0" w:color="auto"/>
      </w:divBdr>
      <w:divsChild>
        <w:div w:id="649797497">
          <w:marLeft w:val="0"/>
          <w:marRight w:val="0"/>
          <w:marTop w:val="0"/>
          <w:marBottom w:val="0"/>
          <w:divBdr>
            <w:top w:val="none" w:sz="0" w:space="0" w:color="auto"/>
            <w:left w:val="none" w:sz="0" w:space="0" w:color="auto"/>
            <w:bottom w:val="none" w:sz="0" w:space="0" w:color="auto"/>
            <w:right w:val="none" w:sz="0" w:space="0" w:color="auto"/>
          </w:divBdr>
          <w:divsChild>
            <w:div w:id="1567108734">
              <w:marLeft w:val="0"/>
              <w:marRight w:val="0"/>
              <w:marTop w:val="0"/>
              <w:marBottom w:val="0"/>
              <w:divBdr>
                <w:top w:val="single" w:sz="4" w:space="0" w:color="EBEBEB"/>
                <w:left w:val="single" w:sz="4" w:space="0" w:color="EBEBEB"/>
                <w:bottom w:val="single" w:sz="4" w:space="0" w:color="EBEBEB"/>
                <w:right w:val="single" w:sz="4" w:space="0" w:color="EBEBEB"/>
              </w:divBdr>
              <w:divsChild>
                <w:div w:id="407726343">
                  <w:marLeft w:val="0"/>
                  <w:marRight w:val="0"/>
                  <w:marTop w:val="0"/>
                  <w:marBottom w:val="0"/>
                  <w:divBdr>
                    <w:top w:val="none" w:sz="0" w:space="0" w:color="auto"/>
                    <w:left w:val="none" w:sz="0" w:space="0" w:color="auto"/>
                    <w:bottom w:val="none" w:sz="0" w:space="0" w:color="auto"/>
                    <w:right w:val="none" w:sz="0" w:space="0" w:color="auto"/>
                  </w:divBdr>
                  <w:divsChild>
                    <w:div w:id="1606380829">
                      <w:marLeft w:val="0"/>
                      <w:marRight w:val="0"/>
                      <w:marTop w:val="0"/>
                      <w:marBottom w:val="0"/>
                      <w:divBdr>
                        <w:top w:val="none" w:sz="0" w:space="0" w:color="auto"/>
                        <w:left w:val="none" w:sz="0" w:space="0" w:color="auto"/>
                        <w:bottom w:val="none" w:sz="0" w:space="0" w:color="auto"/>
                        <w:right w:val="none" w:sz="0" w:space="0" w:color="auto"/>
                      </w:divBdr>
                      <w:divsChild>
                        <w:div w:id="560748786">
                          <w:marLeft w:val="0"/>
                          <w:marRight w:val="0"/>
                          <w:marTop w:val="0"/>
                          <w:marBottom w:val="0"/>
                          <w:divBdr>
                            <w:top w:val="none" w:sz="0" w:space="0" w:color="auto"/>
                            <w:left w:val="none" w:sz="0" w:space="0" w:color="auto"/>
                            <w:bottom w:val="none" w:sz="0" w:space="0" w:color="auto"/>
                            <w:right w:val="none" w:sz="0" w:space="0" w:color="auto"/>
                          </w:divBdr>
                          <w:divsChild>
                            <w:div w:id="1373076870">
                              <w:marLeft w:val="0"/>
                              <w:marRight w:val="0"/>
                              <w:marTop w:val="0"/>
                              <w:marBottom w:val="0"/>
                              <w:divBdr>
                                <w:top w:val="none" w:sz="0" w:space="0" w:color="auto"/>
                                <w:left w:val="none" w:sz="0" w:space="0" w:color="auto"/>
                                <w:bottom w:val="none" w:sz="0" w:space="0" w:color="auto"/>
                                <w:right w:val="none" w:sz="0" w:space="0" w:color="auto"/>
                              </w:divBdr>
                              <w:divsChild>
                                <w:div w:id="2067219563">
                                  <w:marLeft w:val="0"/>
                                  <w:marRight w:val="0"/>
                                  <w:marTop w:val="0"/>
                                  <w:marBottom w:val="0"/>
                                  <w:divBdr>
                                    <w:top w:val="none" w:sz="0" w:space="0" w:color="auto"/>
                                    <w:left w:val="none" w:sz="0" w:space="0" w:color="auto"/>
                                    <w:bottom w:val="none" w:sz="0" w:space="0" w:color="auto"/>
                                    <w:right w:val="none" w:sz="0" w:space="0" w:color="auto"/>
                                  </w:divBdr>
                                  <w:divsChild>
                                    <w:div w:id="702828139">
                                      <w:marLeft w:val="0"/>
                                      <w:marRight w:val="0"/>
                                      <w:marTop w:val="0"/>
                                      <w:marBottom w:val="0"/>
                                      <w:divBdr>
                                        <w:top w:val="none" w:sz="0" w:space="0" w:color="auto"/>
                                        <w:left w:val="none" w:sz="0" w:space="0" w:color="auto"/>
                                        <w:bottom w:val="none" w:sz="0" w:space="0" w:color="auto"/>
                                        <w:right w:val="none" w:sz="0" w:space="0" w:color="auto"/>
                                      </w:divBdr>
                                      <w:divsChild>
                                        <w:div w:id="2030447480">
                                          <w:marLeft w:val="0"/>
                                          <w:marRight w:val="0"/>
                                          <w:marTop w:val="0"/>
                                          <w:marBottom w:val="0"/>
                                          <w:divBdr>
                                            <w:top w:val="none" w:sz="0" w:space="0" w:color="auto"/>
                                            <w:left w:val="none" w:sz="0" w:space="0" w:color="auto"/>
                                            <w:bottom w:val="none" w:sz="0" w:space="0" w:color="auto"/>
                                            <w:right w:val="none" w:sz="0" w:space="0" w:color="auto"/>
                                          </w:divBdr>
                                          <w:divsChild>
                                            <w:div w:id="5397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ds.com" TargetMode="External"/><Relationship Id="rId13" Type="http://schemas.openxmlformats.org/officeDocument/2006/relationships/hyperlink" Target="https://www.youtube.com/DassaultSystemes" TargetMode="External"/><Relationship Id="rId18" Type="http://schemas.openxmlformats.org/officeDocument/2006/relationships/hyperlink" Target="mailto:grace.mu@3d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Hyunkyung.CHAE@3ds.com" TargetMode="External"/><Relationship Id="rId7" Type="http://schemas.openxmlformats.org/officeDocument/2006/relationships/endnotes" Target="endnotes.xml"/><Relationship Id="rId12" Type="http://schemas.openxmlformats.org/officeDocument/2006/relationships/hyperlink" Target="https://www.linkedin.com/company/dassaultsystemes" TargetMode="External"/><Relationship Id="rId17" Type="http://schemas.openxmlformats.org/officeDocument/2006/relationships/hyperlink" Target="mailto:virginie.blindenberg@3ds.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uzanne.moran@3ds.com" TargetMode="External"/><Relationship Id="rId20" Type="http://schemas.openxmlformats.org/officeDocument/2006/relationships/hyperlink" Target="mailto:yukiko.sato@3d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DassaultSystem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rnaud.malherbe@3ds.com" TargetMode="External"/><Relationship Id="rId23" Type="http://schemas.openxmlformats.org/officeDocument/2006/relationships/footer" Target="footer1.xml"/><Relationship Id="rId10" Type="http://schemas.openxmlformats.org/officeDocument/2006/relationships/hyperlink" Target="https://twitter.com/Dassault3DS" TargetMode="External"/><Relationship Id="rId19" Type="http://schemas.openxmlformats.org/officeDocument/2006/relationships/hyperlink" Target="mailto:santanu.bhattacharya@3ds.com" TargetMode="External"/><Relationship Id="rId4" Type="http://schemas.openxmlformats.org/officeDocument/2006/relationships/settings" Target="settings.xml"/><Relationship Id="rId9" Type="http://schemas.openxmlformats.org/officeDocument/2006/relationships/hyperlink" Target="file:///E:\users\mgx\All-Data\mck%20documents\2020%20Q2%20Folder\www.3ds.com\investors\" TargetMode="External"/><Relationship Id="rId14" Type="http://schemas.openxmlformats.org/officeDocument/2006/relationships/hyperlink" Target="http://www.3ds.com" TargetMode="External"/><Relationship Id="rId22" Type="http://schemas.openxmlformats.org/officeDocument/2006/relationships/hyperlink" Target="mailto:pallavi.misra@3ds.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BDE23D3-4D08-4982-8663-C68F0926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8499</Words>
  <Characters>46750</Characters>
  <Application>Microsoft Office Word</Application>
  <DocSecurity>0</DocSecurity>
  <Lines>389</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DASSAULT SYSTEMES</Company>
  <LinksUpToDate>false</LinksUpToDate>
  <CharactersWithSpaces>55139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mgx</dc:creator>
  <cp:lastModifiedBy>DA MAIA LEVY Delphine</cp:lastModifiedBy>
  <cp:revision>5</cp:revision>
  <cp:lastPrinted>2020-07-22T19:42:00Z</cp:lastPrinted>
  <dcterms:created xsi:type="dcterms:W3CDTF">2020-07-22T19:23:00Z</dcterms:created>
  <dcterms:modified xsi:type="dcterms:W3CDTF">2020-07-22T19:42:00Z</dcterms:modified>
</cp:coreProperties>
</file>